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8297" w14:textId="77777777" w:rsidR="00DF311C" w:rsidRDefault="00DF311C">
      <w:pPr>
        <w:spacing w:before="2400"/>
      </w:pPr>
    </w:p>
    <w:p w14:paraId="5F94A2B6" w14:textId="77777777" w:rsidR="00DF311C" w:rsidRDefault="000E5AC1">
      <w:pPr>
        <w:pStyle w:val="Titolo"/>
      </w:pPr>
      <w:r>
        <w:t>Documentazione Migrazione</w:t>
      </w:r>
    </w:p>
    <w:p w14:paraId="6433015F" w14:textId="77777777" w:rsidR="00DF311C" w:rsidRDefault="000E5AC1">
      <w:pPr>
        <w:pStyle w:val="Titolo"/>
        <w:spacing w:before="120"/>
      </w:pPr>
      <w:proofErr w:type="spellStart"/>
      <w:r>
        <w:t>GlobalBlue</w:t>
      </w:r>
      <w:proofErr w:type="spellEnd"/>
      <w:r>
        <w:t xml:space="preserve"> Tax Free</w:t>
      </w:r>
    </w:p>
    <w:p w14:paraId="13C890E0" w14:textId="77777777" w:rsidR="00DF311C" w:rsidRDefault="000E5AC1">
      <w:pPr>
        <w:spacing w:before="480" w:after="2400"/>
        <w:jc w:val="center"/>
      </w:pPr>
      <w:r>
        <w:rPr>
          <w:b/>
          <w:bCs/>
          <w:color w:val="666666"/>
          <w:sz w:val="28"/>
          <w:szCs w:val="28"/>
        </w:rPr>
        <w:t xml:space="preserve">Da </w:t>
      </w:r>
      <w:proofErr w:type="spellStart"/>
      <w:r>
        <w:rPr>
          <w:b/>
          <w:bCs/>
          <w:color w:val="666666"/>
          <w:sz w:val="28"/>
          <w:szCs w:val="28"/>
        </w:rPr>
        <w:t>TWebBrowser</w:t>
      </w:r>
      <w:proofErr w:type="spellEnd"/>
      <w:r>
        <w:rPr>
          <w:b/>
          <w:bCs/>
          <w:color w:val="666666"/>
          <w:sz w:val="28"/>
          <w:szCs w:val="28"/>
        </w:rPr>
        <w:t xml:space="preserve"> a </w:t>
      </w:r>
      <w:proofErr w:type="spellStart"/>
      <w:r>
        <w:rPr>
          <w:b/>
          <w:bCs/>
          <w:color w:val="666666"/>
          <w:sz w:val="28"/>
          <w:szCs w:val="28"/>
        </w:rPr>
        <w:t>TEdgeBrowser</w:t>
      </w:r>
      <w:proofErr w:type="spellEnd"/>
      <w:r>
        <w:rPr>
          <w:b/>
          <w:bCs/>
          <w:color w:val="666666"/>
          <w:sz w:val="28"/>
          <w:szCs w:val="28"/>
        </w:rPr>
        <w:t xml:space="preserve"> (WebView2)</w:t>
      </w:r>
    </w:p>
    <w:p w14:paraId="106AA26A" w14:textId="77777777" w:rsidR="00DF311C" w:rsidRDefault="000E5AC1">
      <w:pPr>
        <w:spacing w:after="240"/>
        <w:jc w:val="center"/>
      </w:pPr>
      <w:r>
        <w:rPr>
          <w:b/>
          <w:bCs/>
          <w:color w:val="1F4E78"/>
          <w:sz w:val="32"/>
          <w:szCs w:val="32"/>
        </w:rPr>
        <w:t>Versione 10 → Versione 20</w:t>
      </w:r>
    </w:p>
    <w:p w14:paraId="65E58975" w14:textId="77777777" w:rsidR="00DF311C" w:rsidRDefault="00DF311C">
      <w:pPr>
        <w:sectPr w:rsidR="00DF311C">
          <w:pgSz w:w="11906" w:h="16838"/>
          <w:pgMar w:top="1440" w:right="1440" w:bottom="1440" w:left="1440" w:header="708" w:footer="708" w:gutter="0"/>
          <w:pgNumType w:start="1"/>
          <w:cols w:space="720"/>
          <w:docGrid w:linePitch="360"/>
        </w:sectPr>
      </w:pPr>
    </w:p>
    <w:sdt>
      <w:sdtPr>
        <w:alias w:val="Sommario"/>
        <w:id w:val="-1650044966"/>
        <w:showingPlcHdr/>
      </w:sdtPr>
      <w:sdtContent>
        <w:p w14:paraId="1133D077" w14:textId="5D873FFD" w:rsidR="00DF311C" w:rsidRDefault="00471532">
          <w:r>
            <w:t xml:space="preserve">     </w:t>
          </w:r>
        </w:p>
      </w:sdtContent>
    </w:sdt>
    <w:p w14:paraId="44239CB9" w14:textId="77777777" w:rsidR="00471532" w:rsidRPr="00471532" w:rsidRDefault="00471532">
      <w:pPr>
        <w:rPr>
          <w:b/>
          <w:bCs/>
          <w:sz w:val="36"/>
          <w:szCs w:val="36"/>
        </w:rPr>
      </w:pPr>
      <w:r w:rsidRPr="00471532">
        <w:rPr>
          <w:b/>
          <w:bCs/>
          <w:sz w:val="36"/>
          <w:szCs w:val="36"/>
        </w:rPr>
        <w:t>Sommario</w:t>
      </w:r>
    </w:p>
    <w:p w14:paraId="276933CA" w14:textId="7BB3EABB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3675427" w:history="1">
        <w:r w:rsidRPr="00B22596">
          <w:rPr>
            <w:rStyle w:val="Collegamentoipertestuale"/>
            <w:noProof/>
          </w:rPr>
          <w:t>1. Panoramica delle Modifiche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F48542" w14:textId="1A5D92FA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28" w:history="1">
        <w:r w:rsidRPr="00B22596">
          <w:rPr>
            <w:rStyle w:val="Collegamentoipertestuale"/>
            <w:noProof/>
          </w:rPr>
          <w:t>1.1 Riepilogo Cambiamenti Principali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A8E349" w14:textId="290508C9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29" w:history="1">
        <w:r w:rsidRPr="00B22596">
          <w:rPr>
            <w:rStyle w:val="Collegamentoipertestuale"/>
            <w:noProof/>
          </w:rPr>
          <w:t>1.2 Unit Modificate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2424BC" w14:textId="3CC31D1F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30" w:history="1">
        <w:r w:rsidRPr="00B22596">
          <w:rPr>
            <w:rStyle w:val="Collegamentoipertestuale"/>
            <w:noProof/>
          </w:rPr>
          <w:t>2. Modifiche al Form WebBrowser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A2297F" w14:textId="6F143147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31" w:history="1">
        <w:r w:rsidRPr="00B22596">
          <w:rPr>
            <w:rStyle w:val="Collegamentoipertestuale"/>
            <w:noProof/>
          </w:rPr>
          <w:t>2.1 Sostituzione del Componente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1EC7E1" w14:textId="201A39CE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32" w:history="1">
        <w:r w:rsidRPr="00B22596">
          <w:rPr>
            <w:rStyle w:val="Collegamentoipertestuale"/>
            <w:noProof/>
          </w:rPr>
          <w:t>3. Modifiche agli Eventi del Browser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E6B4F1" w14:textId="0DF063F0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33" w:history="1">
        <w:r w:rsidRPr="00B22596">
          <w:rPr>
            <w:rStyle w:val="Collegamentoipertestuale"/>
            <w:noProof/>
          </w:rPr>
          <w:t>3.1 Eventi Rimossi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B84FDA" w14:textId="7E9F7483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34" w:history="1">
        <w:r w:rsidRPr="00B22596">
          <w:rPr>
            <w:rStyle w:val="Collegamentoipertestuale"/>
            <w:noProof/>
          </w:rPr>
          <w:t>3.2 Nuovi Eventi Aggiunti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DC30EA" w14:textId="7A917338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35" w:history="1">
        <w:r w:rsidRPr="00B22596">
          <w:rPr>
            <w:rStyle w:val="Collegamentoipertestuale"/>
            <w:noProof/>
          </w:rPr>
          <w:t>4. Comunicazione JavaScript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4D6F3A" w14:textId="07FF2106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36" w:history="1">
        <w:r w:rsidRPr="00B22596">
          <w:rPr>
            <w:rStyle w:val="Collegamentoipertestuale"/>
            <w:noProof/>
          </w:rPr>
          <w:t>4.1 Metodo window.external (Versione 10)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B0E554" w14:textId="35EA97A9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37" w:history="1">
        <w:r w:rsidRPr="00B22596">
          <w:rPr>
            <w:rStyle w:val="Collegamentoipertestuale"/>
            <w:noProof/>
          </w:rPr>
          <w:t>4.2 Metodo window.chrome.webview (Versione 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5A98AA" w14:textId="5125A4CA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38" w:history="1">
        <w:r w:rsidRPr="00B22596">
          <w:rPr>
            <w:rStyle w:val="Collegamentoipertestuale"/>
            <w:noProof/>
          </w:rPr>
          <w:t>5. Gestione della Navigazione e del POST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9F80BB" w14:textId="3D48FFE3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39" w:history="1">
        <w:r w:rsidRPr="00B22596">
          <w:rPr>
            <w:rStyle w:val="Collegamentoipertestuale"/>
            <w:noProof/>
          </w:rPr>
          <w:t>5.1 Navigazione nel TWebBrowser (Versione 10)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1A7101" w14:textId="3427B930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40" w:history="1">
        <w:r w:rsidRPr="00B22596">
          <w:rPr>
            <w:rStyle w:val="Collegamentoipertestuale"/>
            <w:noProof/>
          </w:rPr>
          <w:t>5.2 Navigazione nel TEdgeBrowser (Versione 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6E22EF" w14:textId="39A9CB40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41" w:history="1">
        <w:r w:rsidRPr="00B22596">
          <w:rPr>
            <w:rStyle w:val="Collegamentoipertestuale"/>
            <w:noProof/>
          </w:rPr>
          <w:t>6. Modifiche all'Unit Principale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3EF00F" w14:textId="5A5294E0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42" w:history="1">
        <w:r w:rsidRPr="00B22596">
          <w:rPr>
            <w:rStyle w:val="Collegamentoipertestuale"/>
            <w:noProof/>
          </w:rPr>
          <w:t>6.1 Modifiche alle Dichiarazioni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8C42FF" w14:textId="2E80908C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43" w:history="1">
        <w:r w:rsidRPr="00B22596">
          <w:rPr>
            <w:rStyle w:val="Collegamentoipertestuale"/>
            <w:noProof/>
          </w:rPr>
          <w:t>6.2 Codice Funzionale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F2F86B" w14:textId="58DFFC0F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44" w:history="1">
        <w:r w:rsidRPr="00B22596">
          <w:rPr>
            <w:rStyle w:val="Collegamentoipertestuale"/>
            <w:noProof/>
          </w:rPr>
          <w:t>7. Modifiche all'Unit ExternalContainer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30FB2A" w14:textId="5AB0A5D3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45" w:history="1">
        <w:r w:rsidRPr="00B22596">
          <w:rPr>
            <w:rStyle w:val="Collegamentoipertestuale"/>
            <w:noProof/>
          </w:rPr>
          <w:t>7.1 Modifiche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7202904" w14:textId="4DB69727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46" w:history="1">
        <w:r w:rsidRPr="00B22596">
          <w:rPr>
            <w:rStyle w:val="Collegamentoipertestuale"/>
            <w:noProof/>
          </w:rPr>
          <w:t>8. Modifiche all'Unit GetData_TLB_Impl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D23F1D" w14:textId="319CDD17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47" w:history="1">
        <w:r w:rsidRPr="00B22596">
          <w:rPr>
            <w:rStyle w:val="Collegamentoipertestuale"/>
            <w:noProof/>
          </w:rPr>
          <w:t>8.1 Modifiche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CC3260" w14:textId="7FFC8375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48" w:history="1">
        <w:r w:rsidRPr="00B22596">
          <w:rPr>
            <w:rStyle w:val="Collegamentoipertestuale"/>
            <w:noProof/>
          </w:rPr>
          <w:t>8.2 Caricamento TypeLib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FB54380" w14:textId="214A1875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49" w:history="1">
        <w:r w:rsidRPr="00B22596">
          <w:rPr>
            <w:rStyle w:val="Collegamentoipertestuale"/>
            <w:noProof/>
          </w:rPr>
          <w:t>9. Inizializzazione del WebView2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EB48F0" w14:textId="310593A8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50" w:history="1">
        <w:r w:rsidRPr="00B22596">
          <w:rPr>
            <w:rStyle w:val="Collegamentoipertestuale"/>
            <w:noProof/>
          </w:rPr>
          <w:t>9.1 Processo di Inizializzazione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859E4F3" w14:textId="65B86AF3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51" w:history="1">
        <w:r w:rsidRPr="00B22596">
          <w:rPr>
            <w:rStyle w:val="Collegamentoipertestuale"/>
            <w:noProof/>
          </w:rPr>
          <w:t>10. Nuove Funzionalità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B0F5DF" w14:textId="668699C8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52" w:history="1">
        <w:r w:rsidRPr="00B22596">
          <w:rPr>
            <w:rStyle w:val="Collegamentoipertestuale"/>
            <w:noProof/>
          </w:rPr>
          <w:t>10.1 Logging della Console JavaScript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ED563AC" w14:textId="6054018F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53" w:history="1">
        <w:r w:rsidRPr="00B22596">
          <w:rPr>
            <w:rStyle w:val="Collegamentoipertestuale"/>
            <w:noProof/>
          </w:rPr>
          <w:t>10.2 Gestione Migliorata degli Stati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5D9A78" w14:textId="73986284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54" w:history="1">
        <w:r w:rsidRPr="00B22596">
          <w:rPr>
            <w:rStyle w:val="Collegamentoipertestuale"/>
            <w:noProof/>
          </w:rPr>
          <w:t>11. Requisiti di Sistema e Compatibilità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FBD766" w14:textId="3414F101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55" w:history="1">
        <w:r w:rsidRPr="00B22596">
          <w:rPr>
            <w:rStyle w:val="Collegamentoipertestuale"/>
            <w:noProof/>
          </w:rPr>
          <w:t>11.1 Requisiti IDE Delphi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830373" w14:textId="04C485BB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56" w:history="1">
        <w:r w:rsidRPr="00B22596">
          <w:rPr>
            <w:rStyle w:val="Collegamentoipertestuale"/>
            <w:noProof/>
          </w:rPr>
          <w:t>11.2 Requisiti Runtime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52830BD" w14:textId="163F7446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57" w:history="1">
        <w:r w:rsidRPr="00B22596">
          <w:rPr>
            <w:rStyle w:val="Collegamentoipertestuale"/>
            <w:noProof/>
          </w:rPr>
          <w:t>11.3 Versioni Windows Supportate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E29F6B" w14:textId="40D049D8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58" w:history="1">
        <w:r w:rsidRPr="00B22596">
          <w:rPr>
            <w:rStyle w:val="Collegamentoipertestuale"/>
            <w:noProof/>
          </w:rPr>
          <w:t>12. Vantaggi della Migrazione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E0AC721" w14:textId="505E5BB7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59" w:history="1">
        <w:r w:rsidRPr="00B22596">
          <w:rPr>
            <w:rStyle w:val="Collegamentoipertestuale"/>
            <w:noProof/>
          </w:rPr>
          <w:t>13. Considerazioni per la Migrazione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860F1D" w14:textId="1EBB95ED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60" w:history="1">
        <w:r w:rsidRPr="00B22596">
          <w:rPr>
            <w:rStyle w:val="Collegamentoipertestuale"/>
            <w:noProof/>
          </w:rPr>
          <w:t>13.1 Requisiti 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7FE8202" w14:textId="6CF752A0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61" w:history="1">
        <w:r w:rsidRPr="00B22596">
          <w:rPr>
            <w:rStyle w:val="Collegamentoipertestuale"/>
            <w:noProof/>
          </w:rPr>
          <w:t>13.2 Compatibilità con il Codice Esistente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9CE6298" w14:textId="44360C1D" w:rsidR="00471532" w:rsidRDefault="00471532">
      <w:pPr>
        <w:pStyle w:val="Sommario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3675462" w:history="1">
        <w:r w:rsidRPr="00B22596">
          <w:rPr>
            <w:rStyle w:val="Collegamentoipertestuale"/>
            <w:noProof/>
          </w:rPr>
          <w:t>13.3 Deployment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A908DB" w14:textId="6696301B" w:rsidR="00471532" w:rsidRDefault="00471532">
      <w:pPr>
        <w:pStyle w:val="Sommario1"/>
        <w:tabs>
          <w:tab w:val="right" w:leader="underscore" w:pos="9016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14:ligatures w14:val="standardContextual"/>
        </w:rPr>
      </w:pPr>
      <w:hyperlink w:anchor="_Toc213675463" w:history="1">
        <w:r w:rsidRPr="00B22596">
          <w:rPr>
            <w:rStyle w:val="Collegamentoipertestuale"/>
            <w:noProof/>
          </w:rPr>
          <w:t>14. Conclusioni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_Toc213675463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BD128E5" w14:textId="68C596C4" w:rsidR="00DF311C" w:rsidRDefault="00471532">
      <w:r>
        <w:fldChar w:fldCharType="end"/>
      </w:r>
      <w:r w:rsidR="000E5AC1">
        <w:br w:type="page"/>
      </w:r>
    </w:p>
    <w:p w14:paraId="721A8D7D" w14:textId="77777777" w:rsidR="00DF311C" w:rsidRDefault="000E5AC1">
      <w:pPr>
        <w:pStyle w:val="Titolo1"/>
      </w:pPr>
      <w:bookmarkStart w:id="0" w:name="_Toc213675381"/>
      <w:bookmarkStart w:id="1" w:name="_Toc213675427"/>
      <w:r>
        <w:lastRenderedPageBreak/>
        <w:t>1. Panoramica delle Modifiche</w:t>
      </w:r>
      <w:bookmarkEnd w:id="0"/>
      <w:bookmarkEnd w:id="1"/>
    </w:p>
    <w:p w14:paraId="7FB2EC5E" w14:textId="77777777" w:rsidR="00DF311C" w:rsidRDefault="000E5AC1">
      <w:pPr>
        <w:spacing w:after="240"/>
      </w:pPr>
      <w:r>
        <w:t xml:space="preserve">Questo documento descrive le modifiche apportate al sistema </w:t>
      </w:r>
      <w:proofErr w:type="spellStart"/>
      <w:r>
        <w:t>GlobalBlue</w:t>
      </w:r>
      <w:proofErr w:type="spellEnd"/>
      <w:r>
        <w:t xml:space="preserve"> Tax Free per passare dalla </w:t>
      </w:r>
      <w:r>
        <w:rPr>
          <w:b/>
          <w:bCs/>
        </w:rPr>
        <w:t>versione 10</w:t>
      </w:r>
      <w:r>
        <w:t xml:space="preserve"> alla </w:t>
      </w:r>
      <w:r>
        <w:rPr>
          <w:b/>
          <w:bCs/>
        </w:rPr>
        <w:t>versione 20</w:t>
      </w:r>
      <w:r>
        <w:t xml:space="preserve">. La principale differenza riguarda la sostituzione del componente browser utilizzato per l'integrazione con il servizio </w:t>
      </w:r>
      <w:proofErr w:type="spellStart"/>
      <w:r>
        <w:t>GlobalBlue</w:t>
      </w:r>
      <w:proofErr w:type="spellEnd"/>
      <w:r>
        <w:t xml:space="preserve"> Tax Free, con conseguenti modifiche a tutte le </w:t>
      </w:r>
      <w:proofErr w:type="spellStart"/>
      <w:r>
        <w:t>unit</w:t>
      </w:r>
      <w:proofErr w:type="spellEnd"/>
      <w:r>
        <w:t xml:space="preserve"> correlate.</w:t>
      </w:r>
    </w:p>
    <w:p w14:paraId="0E22CB03" w14:textId="77777777" w:rsidR="00DF311C" w:rsidRDefault="000E5AC1">
      <w:pPr>
        <w:pStyle w:val="Titolo2"/>
      </w:pPr>
      <w:bookmarkStart w:id="2" w:name="_Toc213675382"/>
      <w:bookmarkStart w:id="3" w:name="_Toc213675428"/>
      <w:r>
        <w:t>1.1 Riepilogo Cambiamenti Principali</w:t>
      </w:r>
      <w:bookmarkEnd w:id="2"/>
      <w:bookmarkEnd w:id="3"/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385"/>
      </w:tblGrid>
      <w:tr w:rsidR="00DF311C" w14:paraId="0F5E1E38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</w:tcPr>
          <w:p w14:paraId="67D2E51D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Aspetto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</w:tcPr>
          <w:p w14:paraId="20AC7E20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Versione 10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</w:tcPr>
          <w:p w14:paraId="146F5D61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Versione 20</w:t>
            </w:r>
          </w:p>
        </w:tc>
      </w:tr>
      <w:tr w:rsidR="00DF311C" w14:paraId="3236B3C3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8BA04DD" w14:textId="77777777" w:rsidR="00DF311C" w:rsidRDefault="000E5AC1">
            <w:r>
              <w:rPr>
                <w:b/>
                <w:bCs/>
              </w:rPr>
              <w:t>Componente Browser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35966CF" w14:textId="77777777" w:rsidR="00DF311C" w:rsidRDefault="000E5AC1">
            <w:proofErr w:type="spellStart"/>
            <w:r>
              <w:rPr>
                <w:rFonts w:ascii="Courier New" w:eastAsia="Courier New" w:hAnsi="Courier New" w:cs="Courier New"/>
              </w:rPr>
              <w:t>TWebBrowser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7C9C27B" w14:textId="77777777" w:rsidR="00DF311C" w:rsidRDefault="000E5AC1">
            <w:proofErr w:type="spellStart"/>
            <w:r>
              <w:rPr>
                <w:rFonts w:ascii="Courier New" w:eastAsia="Courier New" w:hAnsi="Courier New" w:cs="Courier New"/>
              </w:rPr>
              <w:t>TEdgeBrowser</w:t>
            </w:r>
            <w:proofErr w:type="spellEnd"/>
          </w:p>
        </w:tc>
      </w:tr>
      <w:tr w:rsidR="00DF311C" w14:paraId="31474C68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9B19D3" w14:textId="77777777" w:rsidR="00DF311C" w:rsidRDefault="000E5AC1">
            <w:r>
              <w:rPr>
                <w:b/>
                <w:bCs/>
              </w:rPr>
              <w:t>Motore Browser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3AB9A1" w14:textId="77777777" w:rsidR="00DF311C" w:rsidRDefault="000E5AC1">
            <w:r>
              <w:t>Internet Explorer (Deprecato)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F00046" w14:textId="77777777" w:rsidR="00DF311C" w:rsidRDefault="000E5AC1">
            <w:r>
              <w:t>Edge WebView2 (</w:t>
            </w:r>
            <w:proofErr w:type="spellStart"/>
            <w:r>
              <w:t>Chromium</w:t>
            </w:r>
            <w:proofErr w:type="spellEnd"/>
            <w:r>
              <w:t>)</w:t>
            </w:r>
          </w:p>
        </w:tc>
      </w:tr>
      <w:tr w:rsidR="00DF311C" w14:paraId="51B55486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74AF67E" w14:textId="77777777" w:rsidR="00DF311C" w:rsidRDefault="000E5AC1">
            <w:r>
              <w:rPr>
                <w:b/>
                <w:bCs/>
              </w:rPr>
              <w:t>Comunicazione JS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1DF08E8" w14:textId="77777777" w:rsidR="00DF311C" w:rsidRDefault="000E5AC1"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window.external</w:t>
            </w:r>
            <w:proofErr w:type="spellEnd"/>
            <w:proofErr w:type="gram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4656A8C" w14:textId="77777777" w:rsidR="00DF311C" w:rsidRDefault="000E5AC1"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window.chrome</w:t>
            </w:r>
            <w:proofErr w:type="gramEnd"/>
            <w:r>
              <w:rPr>
                <w:rFonts w:ascii="Courier New" w:eastAsia="Courier New" w:hAnsi="Courier New" w:cs="Courier New"/>
              </w:rPr>
              <w:t>.webview</w:t>
            </w:r>
            <w:proofErr w:type="spellEnd"/>
          </w:p>
        </w:tc>
      </w:tr>
      <w:tr w:rsidR="00DF311C" w14:paraId="02E9B623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4788673" w14:textId="77777777" w:rsidR="00DF311C" w:rsidRDefault="000E5AC1">
            <w:r>
              <w:rPr>
                <w:b/>
                <w:bCs/>
              </w:rPr>
              <w:t>Metodo POST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ECAC797" w14:textId="77777777" w:rsidR="00DF311C" w:rsidRDefault="000E5AC1">
            <w:proofErr w:type="gramStart"/>
            <w:r>
              <w:t>Navigate(</w:t>
            </w:r>
            <w:proofErr w:type="gramEnd"/>
            <w:r>
              <w:t>) nativo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57AF38" w14:textId="77777777" w:rsidR="00DF311C" w:rsidRDefault="000E5AC1">
            <w:r>
              <w:t xml:space="preserve">JavaScript form </w:t>
            </w:r>
            <w:proofErr w:type="spellStart"/>
            <w:r>
              <w:t>submit</w:t>
            </w:r>
            <w:proofErr w:type="spellEnd"/>
          </w:p>
        </w:tc>
      </w:tr>
      <w:tr w:rsidR="00DF311C" w14:paraId="6464C328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AFD186E" w14:textId="77777777" w:rsidR="00DF311C" w:rsidRDefault="000E5AC1">
            <w:r>
              <w:rPr>
                <w:b/>
                <w:bCs/>
              </w:rPr>
              <w:t>Inizializzazione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A9F2B40" w14:textId="77777777" w:rsidR="00DF311C" w:rsidRDefault="000E5AC1">
            <w:r>
              <w:t>Automatica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74B0754" w14:textId="77777777" w:rsidR="00DF311C" w:rsidRDefault="000E5AC1">
            <w:proofErr w:type="spellStart"/>
            <w:proofErr w:type="gramStart"/>
            <w:r>
              <w:t>CreateWebView</w:t>
            </w:r>
            <w:proofErr w:type="spellEnd"/>
            <w:r>
              <w:t>(</w:t>
            </w:r>
            <w:proofErr w:type="gramEnd"/>
            <w:r>
              <w:t>) esplicita</w:t>
            </w:r>
          </w:p>
        </w:tc>
      </w:tr>
      <w:tr w:rsidR="00DF311C" w14:paraId="6D902A64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89FC4BB" w14:textId="77777777" w:rsidR="00DF311C" w:rsidRDefault="000E5AC1">
            <w:r>
              <w:rPr>
                <w:b/>
                <w:bCs/>
              </w:rPr>
              <w:t xml:space="preserve">Console </w:t>
            </w:r>
            <w:proofErr w:type="spellStart"/>
            <w:r>
              <w:rPr>
                <w:b/>
                <w:bCs/>
              </w:rPr>
              <w:t>Logging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44ADC53" w14:textId="77777777" w:rsidR="00DF311C" w:rsidRDefault="000E5AC1">
            <w:r>
              <w:t>Non disponibile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F3444D" w14:textId="77777777" w:rsidR="00DF311C" w:rsidRDefault="000E5AC1">
            <w:proofErr w:type="spellStart"/>
            <w:proofErr w:type="gramStart"/>
            <w:r>
              <w:t>SetupConsoleLogging</w:t>
            </w:r>
            <w:proofErr w:type="spellEnd"/>
            <w:r>
              <w:t>(</w:t>
            </w:r>
            <w:proofErr w:type="gramEnd"/>
            <w:r>
              <w:t>)</w:t>
            </w:r>
          </w:p>
        </w:tc>
      </w:tr>
      <w:tr w:rsidR="00DF311C" w14:paraId="4BEFCD1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B7383C" w14:textId="77777777" w:rsidR="00DF311C" w:rsidRDefault="000E5AC1">
            <w:r>
              <w:rPr>
                <w:b/>
                <w:bCs/>
              </w:rPr>
              <w:t>Versione Delphi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5F54404" w14:textId="77777777" w:rsidR="00DF311C" w:rsidRDefault="000E5AC1">
            <w:r>
              <w:t>Tutte le versioni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3F2EB7" w14:textId="11EFEBBB" w:rsidR="00DF311C" w:rsidRDefault="000E5AC1">
            <w:r>
              <w:rPr>
                <w:b/>
                <w:bCs/>
                <w:color w:val="C00000"/>
              </w:rPr>
              <w:t>Delphi 13.x</w:t>
            </w:r>
            <w:r w:rsidR="00471532">
              <w:rPr>
                <w:b/>
                <w:bCs/>
                <w:color w:val="C00000"/>
              </w:rPr>
              <w:t xml:space="preserve"> o superiore</w:t>
            </w:r>
          </w:p>
        </w:tc>
      </w:tr>
    </w:tbl>
    <w:p w14:paraId="499CB8F0" w14:textId="77777777" w:rsidR="00DF311C" w:rsidRDefault="000E5AC1">
      <w:pPr>
        <w:pStyle w:val="Titolo2"/>
      </w:pPr>
      <w:bookmarkStart w:id="4" w:name="_Toc213675383"/>
      <w:bookmarkStart w:id="5" w:name="_Toc213675429"/>
      <w:r>
        <w:t>1.2 Unit Modificate</w:t>
      </w:r>
      <w:bookmarkEnd w:id="4"/>
      <w:bookmarkEnd w:id="5"/>
    </w:p>
    <w:p w14:paraId="1C6F9C24" w14:textId="77777777" w:rsidR="00DF311C" w:rsidRDefault="000E5AC1">
      <w:pPr>
        <w:spacing w:after="120"/>
      </w:pPr>
      <w:r>
        <w:t xml:space="preserve">Le seguenti </w:t>
      </w:r>
      <w:proofErr w:type="spellStart"/>
      <w:r>
        <w:t>unit</w:t>
      </w:r>
      <w:proofErr w:type="spellEnd"/>
      <w:r>
        <w:t xml:space="preserve"> sono state modificate per supportare il nuovo componente </w:t>
      </w:r>
      <w:proofErr w:type="spellStart"/>
      <w:r>
        <w:t>TEdgeBrowser</w:t>
      </w:r>
      <w:proofErr w:type="spellEnd"/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4680"/>
        <w:gridCol w:w="4789"/>
      </w:tblGrid>
      <w:tr w:rsidR="00DF311C" w14:paraId="0DE81DDE" w14:textId="77777777" w:rsidTr="000B4457"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5"/>
          </w:tcPr>
          <w:p w14:paraId="00C5D977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Versione 10</w:t>
            </w:r>
          </w:p>
        </w:tc>
        <w:tc>
          <w:tcPr>
            <w:tcW w:w="4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5"/>
          </w:tcPr>
          <w:p w14:paraId="4134492D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Versione 20</w:t>
            </w:r>
          </w:p>
        </w:tc>
      </w:tr>
      <w:tr w:rsidR="00DF311C" w14:paraId="46D768A2" w14:textId="77777777" w:rsidTr="000B445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CE7669" w14:textId="77777777" w:rsidR="00DF311C" w:rsidRDefault="000E5AC1"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uTF_GLOBALBLUE_WebForm.pas</w:t>
            </w:r>
            <w:proofErr w:type="spellEnd"/>
          </w:p>
        </w:tc>
        <w:tc>
          <w:tcPr>
            <w:tcW w:w="4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A16CCB" w14:textId="77777777" w:rsidR="00DF311C" w:rsidRDefault="000E5AC1">
            <w:r>
              <w:rPr>
                <w:rFonts w:ascii="Courier New" w:eastAsia="Courier New" w:hAnsi="Courier New" w:cs="Courier New"/>
                <w:sz w:val="20"/>
                <w:szCs w:val="20"/>
              </w:rPr>
              <w:t>uTF_GLOBALBLUE_20_WebForm.pas</w:t>
            </w:r>
          </w:p>
        </w:tc>
      </w:tr>
      <w:tr w:rsidR="00DF311C" w14:paraId="21FDA003" w14:textId="77777777" w:rsidTr="000B445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0D5F43B" w14:textId="77777777" w:rsidR="00DF311C" w:rsidRDefault="000E5AC1">
            <w:r>
              <w:rPr>
                <w:rFonts w:ascii="Courier New" w:eastAsia="Courier New" w:hAnsi="Courier New" w:cs="Courier New"/>
                <w:sz w:val="20"/>
                <w:szCs w:val="20"/>
              </w:rPr>
              <w:t>uTKTF_GLOBALBLUE_10.pas</w:t>
            </w:r>
          </w:p>
        </w:tc>
        <w:tc>
          <w:tcPr>
            <w:tcW w:w="4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074C0F" w14:textId="77777777" w:rsidR="00DF311C" w:rsidRDefault="000E5AC1">
            <w:r>
              <w:rPr>
                <w:rFonts w:ascii="Courier New" w:eastAsia="Courier New" w:hAnsi="Courier New" w:cs="Courier New"/>
                <w:sz w:val="20"/>
                <w:szCs w:val="20"/>
              </w:rPr>
              <w:t>uTKTF_GLOBALBLUE_20.pas</w:t>
            </w:r>
          </w:p>
        </w:tc>
      </w:tr>
      <w:tr w:rsidR="000B4457" w14:paraId="71189C75" w14:textId="77777777" w:rsidTr="000B445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9F04E49" w14:textId="35647103" w:rsidR="000B4457" w:rsidRDefault="000B4457"/>
        </w:tc>
        <w:tc>
          <w:tcPr>
            <w:tcW w:w="4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F80D07" w14:textId="6401D565" w:rsidR="000B4457" w:rsidRDefault="000B4457"/>
        </w:tc>
      </w:tr>
      <w:tr w:rsidR="000B4457" w14:paraId="3D55907A" w14:textId="77777777" w:rsidTr="000B445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8372951" w14:textId="4AAAF03A" w:rsidR="000B4457" w:rsidRDefault="000B4457"/>
        </w:tc>
        <w:tc>
          <w:tcPr>
            <w:tcW w:w="4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738E928" w14:textId="69505A73" w:rsidR="000B4457" w:rsidRDefault="000B4457"/>
        </w:tc>
      </w:tr>
    </w:tbl>
    <w:p w14:paraId="16947635" w14:textId="77777777" w:rsidR="00DF311C" w:rsidRDefault="000E5AC1">
      <w:pPr>
        <w:pStyle w:val="Titolo1"/>
      </w:pPr>
      <w:bookmarkStart w:id="6" w:name="_Toc213675384"/>
      <w:bookmarkStart w:id="7" w:name="_Toc213675430"/>
      <w:r>
        <w:t xml:space="preserve">2. Modifiche al Form </w:t>
      </w:r>
      <w:proofErr w:type="spellStart"/>
      <w:r>
        <w:t>WebBrowser</w:t>
      </w:r>
      <w:bookmarkEnd w:id="6"/>
      <w:bookmarkEnd w:id="7"/>
      <w:proofErr w:type="spellEnd"/>
    </w:p>
    <w:p w14:paraId="58879995" w14:textId="77777777" w:rsidR="00DF311C" w:rsidRDefault="000E5AC1">
      <w:pPr>
        <w:spacing w:after="240"/>
      </w:pPr>
      <w:r>
        <w:t xml:space="preserve">Il form </w:t>
      </w:r>
      <w:proofErr w:type="spellStart"/>
      <w:r>
        <w:rPr>
          <w:b/>
          <w:bCs/>
        </w:rPr>
        <w:t>uTF_GLOBALBLUE_WebForm</w:t>
      </w:r>
      <w:proofErr w:type="spellEnd"/>
      <w:r>
        <w:t xml:space="preserve"> è stato completamente ristrutturato nella versione </w:t>
      </w:r>
      <w:r>
        <w:rPr>
          <w:b/>
          <w:bCs/>
        </w:rPr>
        <w:t>uTF_GLOBALBLUE_20_WebForm</w:t>
      </w:r>
      <w:r>
        <w:t xml:space="preserve"> per utilizzare il nuovo componente </w:t>
      </w:r>
      <w:proofErr w:type="spellStart"/>
      <w:r>
        <w:t>TEdgeBrowser</w:t>
      </w:r>
      <w:proofErr w:type="spellEnd"/>
      <w:r>
        <w:t>.</w:t>
      </w:r>
    </w:p>
    <w:p w14:paraId="651BCA29" w14:textId="77777777" w:rsidR="00DF311C" w:rsidRDefault="000E5AC1">
      <w:pPr>
        <w:pStyle w:val="Titolo2"/>
      </w:pPr>
      <w:bookmarkStart w:id="8" w:name="_Toc213675385"/>
      <w:bookmarkStart w:id="9" w:name="_Toc213675431"/>
      <w:r>
        <w:t>2.1 Sostituzione del Componente</w:t>
      </w:r>
      <w:bookmarkEnd w:id="8"/>
      <w:bookmarkEnd w:id="9"/>
    </w:p>
    <w:p w14:paraId="76276959" w14:textId="77777777" w:rsidR="00DF311C" w:rsidRDefault="000E5AC1">
      <w:pPr>
        <w:spacing w:after="120"/>
      </w:pPr>
      <w:r>
        <w:rPr>
          <w:b/>
          <w:bCs/>
        </w:rPr>
        <w:t>Versione 10:</w:t>
      </w:r>
    </w:p>
    <w:p w14:paraId="61016F18" w14:textId="77777777" w:rsidR="00DF311C" w:rsidRDefault="000E5AC1">
      <w:pPr>
        <w:pStyle w:val="CodeStyle"/>
      </w:pPr>
      <w:r>
        <w:t xml:space="preserve">WebBrowser1: </w:t>
      </w:r>
      <w:proofErr w:type="spellStart"/>
      <w:r>
        <w:t>TWebBrowser</w:t>
      </w:r>
      <w:proofErr w:type="spellEnd"/>
    </w:p>
    <w:p w14:paraId="556C2CAC" w14:textId="77777777" w:rsidR="00471532" w:rsidRDefault="00471532">
      <w:pPr>
        <w:rPr>
          <w:b/>
          <w:bCs/>
        </w:rPr>
      </w:pPr>
      <w:r>
        <w:rPr>
          <w:b/>
          <w:bCs/>
        </w:rPr>
        <w:br w:type="page"/>
      </w:r>
    </w:p>
    <w:p w14:paraId="0F0FDDFD" w14:textId="7DF9061B" w:rsidR="00DF311C" w:rsidRDefault="000E5AC1">
      <w:pPr>
        <w:spacing w:before="240" w:after="120"/>
      </w:pPr>
      <w:r>
        <w:rPr>
          <w:b/>
          <w:bCs/>
        </w:rPr>
        <w:lastRenderedPageBreak/>
        <w:t>Versione 20:</w:t>
      </w:r>
    </w:p>
    <w:p w14:paraId="6EC3E675" w14:textId="77777777" w:rsidR="00DF311C" w:rsidRDefault="000E5AC1">
      <w:pPr>
        <w:pStyle w:val="CodeStyle"/>
        <w:spacing w:after="240"/>
      </w:pPr>
      <w:r>
        <w:t xml:space="preserve">EdgeBrowser1: </w:t>
      </w:r>
      <w:proofErr w:type="spellStart"/>
      <w:r>
        <w:t>TEdgeBrowser</w:t>
      </w:r>
      <w:proofErr w:type="spellEnd"/>
    </w:p>
    <w:p w14:paraId="6C6D1581" w14:textId="77777777" w:rsidR="00DF311C" w:rsidRDefault="000E5AC1">
      <w:pPr>
        <w:spacing w:after="360"/>
      </w:pPr>
      <w:r>
        <w:rPr>
          <w:b/>
          <w:bCs/>
        </w:rPr>
        <w:t xml:space="preserve">Motivazione: </w:t>
      </w:r>
      <w:proofErr w:type="spellStart"/>
      <w:r>
        <w:t>TWebBrowser</w:t>
      </w:r>
      <w:proofErr w:type="spellEnd"/>
      <w:r>
        <w:t xml:space="preserve"> utilizza il motore Internet Explorer deprecato da Microsoft. </w:t>
      </w:r>
      <w:proofErr w:type="spellStart"/>
      <w:r>
        <w:t>TEdgeBrowser</w:t>
      </w:r>
      <w:proofErr w:type="spellEnd"/>
      <w:r>
        <w:t xml:space="preserve"> utilizza Microsoft Edge WebView2, basato su </w:t>
      </w:r>
      <w:proofErr w:type="spellStart"/>
      <w:r>
        <w:t>Chromium</w:t>
      </w:r>
      <w:proofErr w:type="spellEnd"/>
      <w:r>
        <w:t>, che è il browser moderno supportato e mantenuto da Microsoft.</w:t>
      </w:r>
    </w:p>
    <w:p w14:paraId="2FDEF192" w14:textId="77777777" w:rsidR="00DF311C" w:rsidRDefault="000E5AC1">
      <w:pPr>
        <w:pStyle w:val="Titolo1"/>
      </w:pPr>
      <w:bookmarkStart w:id="10" w:name="_Toc213675386"/>
      <w:bookmarkStart w:id="11" w:name="_Toc213675432"/>
      <w:r>
        <w:t>3. Modifiche agli Eventi del Browser</w:t>
      </w:r>
      <w:bookmarkEnd w:id="10"/>
      <w:bookmarkEnd w:id="11"/>
    </w:p>
    <w:p w14:paraId="16E643AF" w14:textId="77777777" w:rsidR="00DF311C" w:rsidRDefault="000E5AC1">
      <w:pPr>
        <w:pStyle w:val="Titolo2"/>
      </w:pPr>
      <w:bookmarkStart w:id="12" w:name="_Toc213675387"/>
      <w:bookmarkStart w:id="13" w:name="_Toc213675433"/>
      <w:r>
        <w:t>3.1 Eventi Rimossi</w:t>
      </w:r>
      <w:bookmarkEnd w:id="12"/>
      <w:bookmarkEnd w:id="13"/>
    </w:p>
    <w:p w14:paraId="1ABF5BA8" w14:textId="77777777" w:rsidR="00DF311C" w:rsidRDefault="000E5AC1">
      <w:pPr>
        <w:pStyle w:val="Paragrafoelenco"/>
        <w:numPr>
          <w:ilvl w:val="0"/>
          <w:numId w:val="2"/>
        </w:numPr>
      </w:pPr>
      <w:r>
        <w:rPr>
          <w:b/>
          <w:bCs/>
        </w:rPr>
        <w:t>WebBrowser1NavigateComplete2</w:t>
      </w:r>
      <w:r>
        <w:t xml:space="preserve"> - Gestiva il completamento della navigazione in IE</w:t>
      </w:r>
    </w:p>
    <w:p w14:paraId="3A2BEFA8" w14:textId="77777777" w:rsidR="00DF311C" w:rsidRDefault="000E5AC1">
      <w:pPr>
        <w:pStyle w:val="Paragrafoelenco"/>
        <w:numPr>
          <w:ilvl w:val="0"/>
          <w:numId w:val="2"/>
        </w:numPr>
        <w:spacing w:after="240"/>
      </w:pPr>
      <w:r>
        <w:rPr>
          <w:b/>
          <w:bCs/>
        </w:rPr>
        <w:t>WebBrowser1DocumentComplete</w:t>
      </w:r>
      <w:r>
        <w:t xml:space="preserve"> - Gestiva il completamento del caricamento del documento in IE</w:t>
      </w:r>
    </w:p>
    <w:p w14:paraId="4295DFA4" w14:textId="77777777" w:rsidR="00DF311C" w:rsidRDefault="000E5AC1">
      <w:pPr>
        <w:pStyle w:val="Titolo2"/>
      </w:pPr>
      <w:bookmarkStart w:id="14" w:name="_Toc213675388"/>
      <w:bookmarkStart w:id="15" w:name="_Toc213675434"/>
      <w:r>
        <w:t>3.2 Nuovi Eventi Aggiunti</w:t>
      </w:r>
      <w:bookmarkEnd w:id="14"/>
      <w:bookmarkEnd w:id="15"/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3900"/>
        <w:gridCol w:w="5460"/>
      </w:tblGrid>
      <w:tr w:rsidR="00DF311C" w14:paraId="3A11D492" w14:textId="77777777">
        <w:trPr>
          <w:tblHeader/>
        </w:trPr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5"/>
          </w:tcPr>
          <w:p w14:paraId="0AB167BB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Evento</w:t>
            </w:r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5"/>
          </w:tcPr>
          <w:p w14:paraId="52E5198B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Descrizione</w:t>
            </w:r>
          </w:p>
        </w:tc>
      </w:tr>
      <w:tr w:rsidR="00DF311C" w14:paraId="57934AEA" w14:textId="77777777"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14AE2B" w14:textId="77777777" w:rsidR="00DF311C" w:rsidRDefault="000E5AC1"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OnCreateWebViewCompleted</w:t>
            </w:r>
            <w:proofErr w:type="spellEnd"/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6A8C41" w14:textId="77777777" w:rsidR="00DF311C" w:rsidRDefault="000E5AC1">
            <w:r>
              <w:t>Chiamato quando il WebView2 è stato inizializzato. Verifica HRESULT e avvia la navigazione.</w:t>
            </w:r>
          </w:p>
        </w:tc>
      </w:tr>
      <w:tr w:rsidR="00DF311C" w14:paraId="5E979F2B" w14:textId="77777777"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8ADE0C7" w14:textId="77777777" w:rsidR="00DF311C" w:rsidRDefault="000E5AC1"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OnNavigationStarting</w:t>
            </w:r>
            <w:proofErr w:type="spellEnd"/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95101A" w14:textId="77777777" w:rsidR="00DF311C" w:rsidRDefault="000E5AC1">
            <w:r>
              <w:t xml:space="preserve">Chiamato prima dell'inizio della navigazione. Inietta la funzione </w:t>
            </w:r>
            <w:proofErr w:type="spellStart"/>
            <w:r>
              <w:t>JSB_SendEvent</w:t>
            </w:r>
            <w:proofErr w:type="spellEnd"/>
            <w:r>
              <w:t xml:space="preserve"> prima del caricamento della pagina.</w:t>
            </w:r>
          </w:p>
        </w:tc>
      </w:tr>
      <w:tr w:rsidR="00DF311C" w14:paraId="57717B16" w14:textId="77777777"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C219C5" w14:textId="77777777" w:rsidR="00DF311C" w:rsidRDefault="000E5AC1"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OnNavigationCompleted</w:t>
            </w:r>
            <w:proofErr w:type="spellEnd"/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663A303" w14:textId="77777777" w:rsidR="00DF311C" w:rsidRDefault="000E5AC1">
            <w:r>
              <w:t>Chiamato quando la navigazione è completata. Gestisce il flusso GET /</w:t>
            </w:r>
            <w:proofErr w:type="spellStart"/>
            <w:r>
              <w:t>ui</w:t>
            </w:r>
            <w:proofErr w:type="spellEnd"/>
            <w:r>
              <w:t xml:space="preserve"> → POST /</w:t>
            </w:r>
            <w:proofErr w:type="spellStart"/>
            <w:r>
              <w:t>ui</w:t>
            </w:r>
            <w:proofErr w:type="spellEnd"/>
            <w:r>
              <w:t>/integra tramite JavaScript.</w:t>
            </w:r>
          </w:p>
        </w:tc>
      </w:tr>
      <w:tr w:rsidR="00DF311C" w14:paraId="1A73C753" w14:textId="77777777"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8BE265" w14:textId="77777777" w:rsidR="00DF311C" w:rsidRDefault="000E5AC1"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OnWebMessageReceived</w:t>
            </w:r>
            <w:proofErr w:type="spellEnd"/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C7909A5" w14:textId="77777777" w:rsidR="00DF311C" w:rsidRDefault="000E5AC1">
            <w:r>
              <w:t xml:space="preserve">Riceve i messaggi da JavaScript (via </w:t>
            </w:r>
            <w:proofErr w:type="spellStart"/>
            <w:r>
              <w:t>postMessage</w:t>
            </w:r>
            <w:proofErr w:type="spellEnd"/>
            <w:r>
              <w:t xml:space="preserve">) e li passa al metodo </w:t>
            </w:r>
            <w:proofErr w:type="spellStart"/>
            <w:r>
              <w:t>ReceiveEvent</w:t>
            </w:r>
            <w:proofErr w:type="spellEnd"/>
            <w:r>
              <w:t xml:space="preserve"> per l'elaborazione.</w:t>
            </w:r>
          </w:p>
        </w:tc>
      </w:tr>
    </w:tbl>
    <w:p w14:paraId="66B28075" w14:textId="77777777" w:rsidR="00DF311C" w:rsidRDefault="000E5AC1">
      <w:pPr>
        <w:pStyle w:val="Titolo1"/>
      </w:pPr>
      <w:bookmarkStart w:id="16" w:name="_Toc213675389"/>
      <w:bookmarkStart w:id="17" w:name="_Toc213675435"/>
      <w:r>
        <w:t>4. Comunicazione JavaScript</w:t>
      </w:r>
      <w:bookmarkEnd w:id="16"/>
      <w:bookmarkEnd w:id="17"/>
    </w:p>
    <w:p w14:paraId="68F70961" w14:textId="77777777" w:rsidR="00DF311C" w:rsidRDefault="000E5AC1">
      <w:pPr>
        <w:pStyle w:val="Titolo2"/>
      </w:pPr>
      <w:bookmarkStart w:id="18" w:name="_Toc213675390"/>
      <w:bookmarkStart w:id="19" w:name="_Toc213675436"/>
      <w:r>
        <w:t xml:space="preserve">4.1 Metodo </w:t>
      </w:r>
      <w:proofErr w:type="spellStart"/>
      <w:proofErr w:type="gramStart"/>
      <w:r>
        <w:t>window.external</w:t>
      </w:r>
      <w:proofErr w:type="spellEnd"/>
      <w:proofErr w:type="gramEnd"/>
      <w:r>
        <w:t xml:space="preserve"> (Versione 10)</w:t>
      </w:r>
      <w:bookmarkEnd w:id="18"/>
      <w:bookmarkEnd w:id="19"/>
    </w:p>
    <w:p w14:paraId="682FB842" w14:textId="77777777" w:rsidR="00DF311C" w:rsidRDefault="000E5AC1">
      <w:pPr>
        <w:spacing w:after="120"/>
      </w:pPr>
      <w:r>
        <w:t xml:space="preserve">Nel </w:t>
      </w:r>
      <w:proofErr w:type="spellStart"/>
      <w:r>
        <w:t>TWebBrowser</w:t>
      </w:r>
      <w:proofErr w:type="spellEnd"/>
      <w:r>
        <w:t xml:space="preserve">, la comunicazione da JavaScript a Delphi avveniva tramite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</w:rPr>
        <w:t>window.external</w:t>
      </w:r>
      <w:proofErr w:type="spellEnd"/>
      <w:proofErr w:type="gramEnd"/>
      <w:r>
        <w:t>:</w:t>
      </w:r>
    </w:p>
    <w:p w14:paraId="09BCBD02" w14:textId="77777777" w:rsidR="00DF311C" w:rsidRDefault="000E5AC1">
      <w:pPr>
        <w:pStyle w:val="CodeStyle"/>
      </w:pPr>
      <w:proofErr w:type="spellStart"/>
      <w:proofErr w:type="gramStart"/>
      <w:r>
        <w:t>window.external</w:t>
      </w:r>
      <w:proofErr w:type="gramEnd"/>
      <w:r>
        <w:t>.</w:t>
      </w:r>
      <w:proofErr w:type="gramStart"/>
      <w:r>
        <w:t>ReceiveEvent</w:t>
      </w:r>
      <w:proofErr w:type="spellEnd"/>
      <w:r>
        <w:t>(</w:t>
      </w:r>
      <w:proofErr w:type="spellStart"/>
      <w:proofErr w:type="gramEnd"/>
      <w:r>
        <w:t>JSON.stringify</w:t>
      </w:r>
      <w:proofErr w:type="spellEnd"/>
      <w:r>
        <w:t>(data));</w:t>
      </w:r>
    </w:p>
    <w:p w14:paraId="28ABA0F6" w14:textId="77777777" w:rsidR="00DF311C" w:rsidRDefault="000E5AC1">
      <w:pPr>
        <w:spacing w:before="240" w:after="120"/>
      </w:pPr>
      <w:r>
        <w:t xml:space="preserve">Il metodo </w:t>
      </w:r>
      <w:proofErr w:type="spellStart"/>
      <w:r>
        <w:rPr>
          <w:b/>
          <w:bCs/>
        </w:rPr>
        <w:t>ReceiveEvent</w:t>
      </w:r>
      <w:proofErr w:type="spellEnd"/>
      <w:r>
        <w:t xml:space="preserve"> era dichiarato con </w:t>
      </w:r>
      <w:proofErr w:type="spellStart"/>
      <w:r>
        <w:rPr>
          <w:rFonts w:ascii="Courier New" w:eastAsia="Courier New" w:hAnsi="Courier New" w:cs="Courier New"/>
          <w:b/>
          <w:bCs/>
        </w:rPr>
        <w:t>safecall</w:t>
      </w:r>
      <w:proofErr w:type="spellEnd"/>
      <w:r>
        <w:t xml:space="preserve"> per essere accessibile da JavaScript.</w:t>
      </w:r>
    </w:p>
    <w:p w14:paraId="78EC8F8F" w14:textId="77777777" w:rsidR="00471532" w:rsidRDefault="00471532">
      <w:pPr>
        <w:rPr>
          <w:b/>
          <w:bCs/>
          <w:color w:val="2E75B5"/>
          <w:sz w:val="28"/>
          <w:szCs w:val="28"/>
        </w:rPr>
      </w:pPr>
      <w:bookmarkStart w:id="20" w:name="_Toc213675391"/>
      <w:bookmarkStart w:id="21" w:name="_Toc213675437"/>
      <w:r>
        <w:br w:type="page"/>
      </w:r>
    </w:p>
    <w:p w14:paraId="5B4ACFC9" w14:textId="31FAADDC" w:rsidR="00DF311C" w:rsidRDefault="000E5AC1">
      <w:pPr>
        <w:pStyle w:val="Titolo2"/>
      </w:pPr>
      <w:r>
        <w:lastRenderedPageBreak/>
        <w:t xml:space="preserve">4.2 Metodo </w:t>
      </w:r>
      <w:proofErr w:type="spellStart"/>
      <w:proofErr w:type="gramStart"/>
      <w:r>
        <w:t>window.chrome</w:t>
      </w:r>
      <w:proofErr w:type="gramEnd"/>
      <w:r>
        <w:t>.webview</w:t>
      </w:r>
      <w:proofErr w:type="spellEnd"/>
      <w:r>
        <w:t xml:space="preserve"> (Versione 20)</w:t>
      </w:r>
      <w:bookmarkEnd w:id="20"/>
      <w:bookmarkEnd w:id="21"/>
    </w:p>
    <w:p w14:paraId="60124ABA" w14:textId="77777777" w:rsidR="00DF311C" w:rsidRDefault="000E5AC1">
      <w:pPr>
        <w:spacing w:after="120"/>
      </w:pPr>
      <w:r>
        <w:t xml:space="preserve">Nel </w:t>
      </w:r>
      <w:proofErr w:type="spellStart"/>
      <w:r>
        <w:t>TEdgeBrowser</w:t>
      </w:r>
      <w:proofErr w:type="spellEnd"/>
      <w:r>
        <w:t xml:space="preserve">, la comunicazione avviene tramite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</w:rPr>
        <w:t>window.chrome</w:t>
      </w:r>
      <w:proofErr w:type="gramEnd"/>
      <w:r>
        <w:rPr>
          <w:rFonts w:ascii="Courier New" w:eastAsia="Courier New" w:hAnsi="Courier New" w:cs="Courier New"/>
          <w:b/>
          <w:bCs/>
        </w:rPr>
        <w:t>.</w:t>
      </w:r>
      <w:proofErr w:type="gramStart"/>
      <w:r>
        <w:rPr>
          <w:rFonts w:ascii="Courier New" w:eastAsia="Courier New" w:hAnsi="Courier New" w:cs="Courier New"/>
          <w:b/>
          <w:bCs/>
        </w:rPr>
        <w:t>webview.postMessage</w:t>
      </w:r>
      <w:proofErr w:type="spellEnd"/>
      <w:proofErr w:type="gramEnd"/>
      <w:r>
        <w:t>:</w:t>
      </w:r>
    </w:p>
    <w:p w14:paraId="38C9B350" w14:textId="77777777" w:rsidR="00DF311C" w:rsidRDefault="000E5AC1">
      <w:pPr>
        <w:pStyle w:val="CodeStyle"/>
        <w:spacing w:after="240"/>
      </w:pPr>
      <w:proofErr w:type="spellStart"/>
      <w:proofErr w:type="gramStart"/>
      <w:r>
        <w:t>window.chrome</w:t>
      </w:r>
      <w:proofErr w:type="gramEnd"/>
      <w:r>
        <w:t>.</w:t>
      </w:r>
      <w:proofErr w:type="gramStart"/>
      <w:r>
        <w:t>webview.postMessage</w:t>
      </w:r>
      <w:proofErr w:type="spellEnd"/>
      <w:proofErr w:type="gramEnd"/>
      <w:r>
        <w:t>(</w:t>
      </w:r>
      <w:proofErr w:type="spellStart"/>
      <w:r>
        <w:t>JSON.stringify</w:t>
      </w:r>
      <w:proofErr w:type="spellEnd"/>
      <w:r>
        <w:t>(data));</w:t>
      </w:r>
    </w:p>
    <w:p w14:paraId="2CF0D390" w14:textId="77777777" w:rsidR="00DF311C" w:rsidRDefault="000E5AC1">
      <w:pPr>
        <w:spacing w:after="120"/>
      </w:pPr>
      <w:r>
        <w:t xml:space="preserve">La funzione </w:t>
      </w:r>
      <w:proofErr w:type="spellStart"/>
      <w:r>
        <w:rPr>
          <w:b/>
          <w:bCs/>
        </w:rPr>
        <w:t>JSB_SendEvent</w:t>
      </w:r>
      <w:proofErr w:type="spellEnd"/>
      <w:r>
        <w:t xml:space="preserve"> viene iniettata nella pagina durante il </w:t>
      </w:r>
      <w:proofErr w:type="spellStart"/>
      <w:r>
        <w:rPr>
          <w:b/>
          <w:bCs/>
        </w:rPr>
        <w:t>NavigationStarting</w:t>
      </w:r>
      <w:proofErr w:type="spellEnd"/>
      <w:r>
        <w:t xml:space="preserve"> per garantire la disponibilità prima del caricamento degli script della pagina:</w:t>
      </w:r>
    </w:p>
    <w:p w14:paraId="2DF10A70" w14:textId="77777777" w:rsidR="00DF311C" w:rsidRDefault="000E5AC1">
      <w:pPr>
        <w:pStyle w:val="CodeStyle"/>
      </w:pPr>
      <w:proofErr w:type="spellStart"/>
      <w:r>
        <w:t>window.JSB_SendEvent</w:t>
      </w:r>
      <w:proofErr w:type="spellEnd"/>
      <w:r>
        <w:t xml:space="preserve"> = </w:t>
      </w:r>
      <w:proofErr w:type="spellStart"/>
      <w:r>
        <w:t>function</w:t>
      </w:r>
      <w:proofErr w:type="spellEnd"/>
      <w:r>
        <w:t xml:space="preserve">(data) </w:t>
      </w:r>
      <w:proofErr w:type="gramStart"/>
      <w:r>
        <w:t xml:space="preserve">{  </w:t>
      </w:r>
      <w:proofErr w:type="gramEnd"/>
      <w:r>
        <w:t xml:space="preserve"> </w:t>
      </w:r>
      <w:proofErr w:type="spellStart"/>
      <w:proofErr w:type="gramStart"/>
      <w:r>
        <w:t>window.chrome</w:t>
      </w:r>
      <w:proofErr w:type="gramEnd"/>
      <w:r>
        <w:t>.</w:t>
      </w:r>
      <w:proofErr w:type="gramStart"/>
      <w:r>
        <w:t>webview.postMessage</w:t>
      </w:r>
      <w:proofErr w:type="spellEnd"/>
      <w:proofErr w:type="gramEnd"/>
      <w:r>
        <w:t>(</w:t>
      </w:r>
      <w:proofErr w:type="spellStart"/>
      <w:r>
        <w:t>JSON.stringify</w:t>
      </w:r>
      <w:proofErr w:type="spellEnd"/>
      <w:r>
        <w:t>(data))</w:t>
      </w:r>
      <w:proofErr w:type="gramStart"/>
      <w:r>
        <w:t>; }</w:t>
      </w:r>
      <w:proofErr w:type="gramEnd"/>
      <w:r>
        <w:t>;</w:t>
      </w:r>
    </w:p>
    <w:p w14:paraId="132A3D56" w14:textId="77777777" w:rsidR="00DF311C" w:rsidRDefault="000E5AC1">
      <w:pPr>
        <w:pStyle w:val="Titolo1"/>
      </w:pPr>
      <w:bookmarkStart w:id="22" w:name="_Toc213675392"/>
      <w:bookmarkStart w:id="23" w:name="_Toc213675438"/>
      <w:r>
        <w:t>5. Gestione della Navigazione e del POST</w:t>
      </w:r>
      <w:bookmarkEnd w:id="22"/>
      <w:bookmarkEnd w:id="23"/>
    </w:p>
    <w:p w14:paraId="567FCD21" w14:textId="77777777" w:rsidR="00DF311C" w:rsidRDefault="000E5AC1">
      <w:pPr>
        <w:pStyle w:val="Titolo2"/>
      </w:pPr>
      <w:bookmarkStart w:id="24" w:name="_Toc213675393"/>
      <w:bookmarkStart w:id="25" w:name="_Toc213675439"/>
      <w:r>
        <w:t xml:space="preserve">5.1 Navigazione nel </w:t>
      </w:r>
      <w:proofErr w:type="spellStart"/>
      <w:r>
        <w:t>TWebBrowser</w:t>
      </w:r>
      <w:proofErr w:type="spellEnd"/>
      <w:r>
        <w:t xml:space="preserve"> (Versione 10)</w:t>
      </w:r>
      <w:bookmarkEnd w:id="24"/>
      <w:bookmarkEnd w:id="25"/>
    </w:p>
    <w:p w14:paraId="7FED505D" w14:textId="77777777" w:rsidR="00DF311C" w:rsidRDefault="000E5AC1">
      <w:pPr>
        <w:spacing w:after="120"/>
      </w:pPr>
      <w:r>
        <w:t>Il vecchio componente eseguiva due navigazioni sequenziali:</w:t>
      </w:r>
    </w:p>
    <w:p w14:paraId="4E30F6C5" w14:textId="77777777" w:rsidR="00DF311C" w:rsidRDefault="000E5AC1">
      <w:pPr>
        <w:pStyle w:val="Paragrafoelenco"/>
        <w:numPr>
          <w:ilvl w:val="0"/>
          <w:numId w:val="3"/>
        </w:numPr>
      </w:pPr>
      <w:r>
        <w:rPr>
          <w:b/>
          <w:bCs/>
        </w:rPr>
        <w:t xml:space="preserve">Prima navigazione: </w:t>
      </w:r>
      <w:r>
        <w:t xml:space="preserve">GET a </w:t>
      </w:r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ui</w:t>
      </w:r>
      <w:proofErr w:type="spellEnd"/>
    </w:p>
    <w:p w14:paraId="4777CE7D" w14:textId="77777777" w:rsidR="00DF311C" w:rsidRDefault="000E5AC1">
      <w:pPr>
        <w:pStyle w:val="Paragrafoelenco"/>
        <w:numPr>
          <w:ilvl w:val="0"/>
          <w:numId w:val="3"/>
        </w:numPr>
        <w:spacing w:after="240"/>
      </w:pPr>
      <w:r>
        <w:rPr>
          <w:b/>
          <w:bCs/>
        </w:rPr>
        <w:t xml:space="preserve">Seconda navigazione: </w:t>
      </w:r>
      <w:r>
        <w:t xml:space="preserve">POST a </w:t>
      </w:r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ui</w:t>
      </w:r>
      <w:proofErr w:type="spellEnd"/>
      <w:r>
        <w:rPr>
          <w:rFonts w:ascii="Courier New" w:eastAsia="Courier New" w:hAnsi="Courier New" w:cs="Courier New"/>
        </w:rPr>
        <w:t>/integra</w:t>
      </w:r>
      <w:r>
        <w:t xml:space="preserve"> con i dati del form tramite il metodo Navigate con parametri </w:t>
      </w:r>
      <w:proofErr w:type="spellStart"/>
      <w:r>
        <w:t>TEncoding</w:t>
      </w:r>
      <w:proofErr w:type="spellEnd"/>
    </w:p>
    <w:p w14:paraId="5A3972F7" w14:textId="77777777" w:rsidR="00DF311C" w:rsidRDefault="000E5AC1">
      <w:pPr>
        <w:pStyle w:val="CodeStyle"/>
        <w:spacing w:after="360"/>
      </w:pPr>
      <w:r>
        <w:t>WebBrowser1.Navigate(</w:t>
      </w:r>
      <w:proofErr w:type="spellStart"/>
      <w:r>
        <w:t>fUrl</w:t>
      </w:r>
      <w:proofErr w:type="spellEnd"/>
      <w:r>
        <w:t xml:space="preserve"> + '/</w:t>
      </w:r>
      <w:proofErr w:type="spellStart"/>
      <w:r>
        <w:t>ui</w:t>
      </w:r>
      <w:proofErr w:type="spellEnd"/>
      <w:r>
        <w:t>/integra</w:t>
      </w:r>
      <w:proofErr w:type="gramStart"/>
      <w:r>
        <w:t xml:space="preserve">',   </w:t>
      </w:r>
      <w:proofErr w:type="spellStart"/>
      <w:proofErr w:type="gramEnd"/>
      <w:r>
        <w:t>EmptyParam</w:t>
      </w:r>
      <w:proofErr w:type="spellEnd"/>
      <w:r>
        <w:t xml:space="preserve">, </w:t>
      </w:r>
      <w:proofErr w:type="spellStart"/>
      <w:proofErr w:type="gramStart"/>
      <w:r>
        <w:t>EmptyParam</w:t>
      </w:r>
      <w:proofErr w:type="spellEnd"/>
      <w:r>
        <w:t xml:space="preserve">,   </w:t>
      </w:r>
      <w:proofErr w:type="spellStart"/>
      <w:r>
        <w:t>TEncoding.ASCII.GetBytes</w:t>
      </w:r>
      <w:proofErr w:type="spellEnd"/>
      <w:proofErr w:type="gramEnd"/>
      <w:r>
        <w:t>(</w:t>
      </w:r>
      <w:proofErr w:type="spellStart"/>
      <w:r>
        <w:t>fPostData</w:t>
      </w:r>
      <w:proofErr w:type="spellEnd"/>
      <w:proofErr w:type="gramStart"/>
      <w:r>
        <w:t xml:space="preserve">),   </w:t>
      </w:r>
      <w:proofErr w:type="gramEnd"/>
      <w:r>
        <w:t>'Content-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application</w:t>
      </w:r>
      <w:proofErr w:type="spellEnd"/>
      <w:r>
        <w:t>/x-www-form-</w:t>
      </w:r>
      <w:proofErr w:type="spellStart"/>
      <w:r>
        <w:t>urlencoded</w:t>
      </w:r>
      <w:proofErr w:type="spellEnd"/>
      <w:r>
        <w:t>');</w:t>
      </w:r>
    </w:p>
    <w:p w14:paraId="68FC5A99" w14:textId="77777777" w:rsidR="00DF311C" w:rsidRDefault="000E5AC1">
      <w:pPr>
        <w:pStyle w:val="Titolo2"/>
      </w:pPr>
      <w:bookmarkStart w:id="26" w:name="_Toc213675394"/>
      <w:bookmarkStart w:id="27" w:name="_Toc213675440"/>
      <w:r>
        <w:t xml:space="preserve">5.2 Navigazione nel </w:t>
      </w:r>
      <w:proofErr w:type="spellStart"/>
      <w:r>
        <w:t>TEdgeBrowser</w:t>
      </w:r>
      <w:proofErr w:type="spellEnd"/>
      <w:r>
        <w:t xml:space="preserve"> (Versione 20)</w:t>
      </w:r>
      <w:bookmarkEnd w:id="26"/>
      <w:bookmarkEnd w:id="27"/>
    </w:p>
    <w:p w14:paraId="342C9CDD" w14:textId="77777777" w:rsidR="00DF311C" w:rsidRDefault="000E5AC1">
      <w:pPr>
        <w:spacing w:after="120"/>
      </w:pPr>
      <w:r>
        <w:t>Il nuovo componente mantiene lo stesso flusso ma implementa il POST tramite JavaScript:</w:t>
      </w:r>
    </w:p>
    <w:p w14:paraId="2E8A98BD" w14:textId="77777777" w:rsidR="00DF311C" w:rsidRDefault="000E5AC1">
      <w:pPr>
        <w:pStyle w:val="Paragrafoelenco"/>
        <w:numPr>
          <w:ilvl w:val="0"/>
          <w:numId w:val="3"/>
        </w:numPr>
      </w:pPr>
      <w:r>
        <w:rPr>
          <w:b/>
          <w:bCs/>
        </w:rPr>
        <w:t xml:space="preserve">Prima navigazione: </w:t>
      </w:r>
      <w:r>
        <w:t xml:space="preserve">GET a </w:t>
      </w:r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ui</w:t>
      </w:r>
      <w:proofErr w:type="spellEnd"/>
    </w:p>
    <w:p w14:paraId="161244F5" w14:textId="77777777" w:rsidR="00DF311C" w:rsidRDefault="000E5AC1">
      <w:pPr>
        <w:pStyle w:val="Paragrafoelenco"/>
        <w:numPr>
          <w:ilvl w:val="0"/>
          <w:numId w:val="3"/>
        </w:numPr>
      </w:pPr>
      <w:r>
        <w:rPr>
          <w:b/>
          <w:bCs/>
        </w:rPr>
        <w:t xml:space="preserve">Pulizia </w:t>
      </w:r>
      <w:proofErr w:type="spellStart"/>
      <w:r>
        <w:rPr>
          <w:b/>
          <w:bCs/>
        </w:rPr>
        <w:t>localStorage</w:t>
      </w:r>
      <w:proofErr w:type="spellEnd"/>
      <w:r>
        <w:rPr>
          <w:b/>
          <w:bCs/>
        </w:rPr>
        <w:t xml:space="preserve">: </w:t>
      </w:r>
      <w:proofErr w:type="spellStart"/>
      <w:proofErr w:type="gramStart"/>
      <w:r>
        <w:rPr>
          <w:rFonts w:ascii="Courier New" w:eastAsia="Courier New" w:hAnsi="Courier New" w:cs="Courier New"/>
        </w:rPr>
        <w:t>window.localStorage.clear</w:t>
      </w:r>
      <w:proofErr w:type="spellEnd"/>
      <w:proofErr w:type="gramEnd"/>
      <w:r>
        <w:rPr>
          <w:rFonts w:ascii="Courier New" w:eastAsia="Courier New" w:hAnsi="Courier New" w:cs="Courier New"/>
        </w:rPr>
        <w:t>();</w:t>
      </w:r>
    </w:p>
    <w:p w14:paraId="55EC2A9E" w14:textId="77777777" w:rsidR="00DF311C" w:rsidRDefault="000E5AC1">
      <w:pPr>
        <w:pStyle w:val="Paragrafoelenco"/>
        <w:numPr>
          <w:ilvl w:val="0"/>
          <w:numId w:val="3"/>
        </w:numPr>
        <w:spacing w:after="240"/>
      </w:pPr>
      <w:r>
        <w:rPr>
          <w:b/>
          <w:bCs/>
        </w:rPr>
        <w:t xml:space="preserve">POST via JavaScript: </w:t>
      </w:r>
      <w:r>
        <w:t xml:space="preserve">Crea dinamicamente un form HTML e lo sottomette a </w:t>
      </w:r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ui</w:t>
      </w:r>
      <w:proofErr w:type="spellEnd"/>
      <w:r>
        <w:rPr>
          <w:rFonts w:ascii="Courier New" w:eastAsia="Courier New" w:hAnsi="Courier New" w:cs="Courier New"/>
        </w:rPr>
        <w:t>/integra</w:t>
      </w:r>
    </w:p>
    <w:p w14:paraId="602BD167" w14:textId="77777777" w:rsidR="00DF311C" w:rsidRDefault="000E5AC1">
      <w:pPr>
        <w:spacing w:after="120"/>
      </w:pPr>
      <w:r>
        <w:rPr>
          <w:b/>
          <w:bCs/>
        </w:rPr>
        <w:t xml:space="preserve">Metodo </w:t>
      </w:r>
      <w:proofErr w:type="spellStart"/>
      <w:r>
        <w:rPr>
          <w:b/>
          <w:bCs/>
        </w:rPr>
        <w:t>PerformPostNavigation</w:t>
      </w:r>
      <w:proofErr w:type="spellEnd"/>
      <w:r>
        <w:rPr>
          <w:b/>
          <w:bCs/>
        </w:rPr>
        <w:t>:</w:t>
      </w:r>
    </w:p>
    <w:p w14:paraId="0C0D4CBD" w14:textId="77777777" w:rsidR="00DF311C" w:rsidRDefault="000E5AC1">
      <w:pPr>
        <w:pStyle w:val="CodeStyle"/>
        <w:spacing w:after="360"/>
      </w:pPr>
      <w:r>
        <w:t xml:space="preserve">var form = </w:t>
      </w:r>
      <w:proofErr w:type="spellStart"/>
      <w:proofErr w:type="gramStart"/>
      <w:r>
        <w:t>document.createElement</w:t>
      </w:r>
      <w:proofErr w:type="spellEnd"/>
      <w:proofErr w:type="gramEnd"/>
      <w:r>
        <w:t xml:space="preserve">('form'); </w:t>
      </w:r>
      <w:proofErr w:type="spellStart"/>
      <w:proofErr w:type="gramStart"/>
      <w:r>
        <w:t>form.method</w:t>
      </w:r>
      <w:proofErr w:type="spellEnd"/>
      <w:proofErr w:type="gramEnd"/>
      <w:r>
        <w:t xml:space="preserve"> = 'POST'; </w:t>
      </w:r>
      <w:proofErr w:type="spellStart"/>
      <w:proofErr w:type="gramStart"/>
      <w:r>
        <w:t>form.action</w:t>
      </w:r>
      <w:proofErr w:type="spellEnd"/>
      <w:proofErr w:type="gramEnd"/>
      <w:r>
        <w:t xml:space="preserve"> = '/</w:t>
      </w:r>
      <w:proofErr w:type="spellStart"/>
      <w:r>
        <w:t>ui</w:t>
      </w:r>
      <w:proofErr w:type="spellEnd"/>
      <w:r>
        <w:t xml:space="preserve">/integra'; // Aggiunge input </w:t>
      </w:r>
      <w:proofErr w:type="spellStart"/>
      <w:r>
        <w:t>hidden</w:t>
      </w:r>
      <w:proofErr w:type="spellEnd"/>
      <w:r>
        <w:t xml:space="preserve"> per ogni parametro </w:t>
      </w:r>
      <w:proofErr w:type="spellStart"/>
      <w:proofErr w:type="gramStart"/>
      <w:r>
        <w:t>document.body</w:t>
      </w:r>
      <w:proofErr w:type="gramEnd"/>
      <w:r>
        <w:t>.appendChild</w:t>
      </w:r>
      <w:proofErr w:type="spellEnd"/>
      <w:r>
        <w:t xml:space="preserve">(form); </w:t>
      </w:r>
      <w:proofErr w:type="spellStart"/>
      <w:proofErr w:type="gramStart"/>
      <w:r>
        <w:t>form.submit</w:t>
      </w:r>
      <w:proofErr w:type="spellEnd"/>
      <w:proofErr w:type="gramEnd"/>
      <w:r>
        <w:t>();</w:t>
      </w:r>
    </w:p>
    <w:p w14:paraId="7545ACD9" w14:textId="77777777" w:rsidR="00DF311C" w:rsidRDefault="000E5AC1">
      <w:pPr>
        <w:spacing w:after="240"/>
      </w:pPr>
      <w:r>
        <w:rPr>
          <w:b/>
          <w:bCs/>
        </w:rPr>
        <w:t xml:space="preserve">Motivazione: </w:t>
      </w:r>
      <w:proofErr w:type="spellStart"/>
      <w:r>
        <w:t>TEdgeBrowser</w:t>
      </w:r>
      <w:proofErr w:type="spellEnd"/>
      <w:r>
        <w:t xml:space="preserve"> non supporta il metodo Navigate con parametri POST nativamente. La soluzione JavaScript è più moderna e flessibile, permettendo un controllo completo sulla codifica dei parametri.</w:t>
      </w:r>
    </w:p>
    <w:p w14:paraId="0D04F7E6" w14:textId="77777777" w:rsidR="00DF311C" w:rsidRDefault="000E5AC1">
      <w:pPr>
        <w:pStyle w:val="Titolo1"/>
      </w:pPr>
      <w:bookmarkStart w:id="28" w:name="_Toc213675395"/>
      <w:bookmarkStart w:id="29" w:name="_Toc213675441"/>
      <w:r>
        <w:t>6. Modifiche all'Unit Principale</w:t>
      </w:r>
      <w:bookmarkEnd w:id="28"/>
      <w:bookmarkEnd w:id="29"/>
    </w:p>
    <w:p w14:paraId="12A6D7CC" w14:textId="77777777" w:rsidR="00DF311C" w:rsidRDefault="000E5AC1">
      <w:pPr>
        <w:spacing w:after="240"/>
      </w:pPr>
      <w:proofErr w:type="spellStart"/>
      <w:r>
        <w:t>L'unit</w:t>
      </w:r>
      <w:proofErr w:type="spellEnd"/>
      <w:r>
        <w:t xml:space="preserve"> principale </w:t>
      </w:r>
      <w:r>
        <w:rPr>
          <w:rFonts w:ascii="Courier New" w:eastAsia="Courier New" w:hAnsi="Courier New" w:cs="Courier New"/>
          <w:b/>
          <w:bCs/>
        </w:rPr>
        <w:t>uTKTF_GLOBALBLUE_10.pas</w:t>
      </w:r>
      <w:r>
        <w:t xml:space="preserve"> è stata rinominata in </w:t>
      </w:r>
      <w:r>
        <w:rPr>
          <w:rFonts w:ascii="Courier New" w:eastAsia="Courier New" w:hAnsi="Courier New" w:cs="Courier New"/>
          <w:b/>
          <w:bCs/>
        </w:rPr>
        <w:t>uTKTF_GLOBALBLUE_20.pas</w:t>
      </w:r>
      <w:r>
        <w:t xml:space="preserve"> con le seguenti modifiche.</w:t>
      </w:r>
    </w:p>
    <w:p w14:paraId="5A5D70BE" w14:textId="77777777" w:rsidR="00471532" w:rsidRDefault="00471532">
      <w:pPr>
        <w:rPr>
          <w:b/>
          <w:bCs/>
          <w:color w:val="2E75B5"/>
          <w:sz w:val="28"/>
          <w:szCs w:val="28"/>
        </w:rPr>
      </w:pPr>
      <w:bookmarkStart w:id="30" w:name="_Toc213675396"/>
      <w:bookmarkStart w:id="31" w:name="_Toc213675442"/>
      <w:r>
        <w:br w:type="page"/>
      </w:r>
    </w:p>
    <w:p w14:paraId="25B16B27" w14:textId="264C5B75" w:rsidR="00DF311C" w:rsidRDefault="000E5AC1">
      <w:pPr>
        <w:pStyle w:val="Titolo2"/>
      </w:pPr>
      <w:r>
        <w:lastRenderedPageBreak/>
        <w:t>6.1 Modifiche alle Dichiarazioni</w:t>
      </w:r>
      <w:bookmarkEnd w:id="30"/>
      <w:bookmarkEnd w:id="31"/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DF311C" w14:paraId="58572230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</w:tcPr>
          <w:p w14:paraId="226879EE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Elemento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</w:tcPr>
          <w:p w14:paraId="1D1A733C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Versione 10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</w:tcPr>
          <w:p w14:paraId="1AC37B1F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Versione 20</w:t>
            </w:r>
          </w:p>
        </w:tc>
      </w:tr>
      <w:tr w:rsidR="00DF311C" w14:paraId="7567A453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C761AF" w14:textId="77777777" w:rsidR="00DF311C" w:rsidRDefault="000E5AC1">
            <w:r>
              <w:rPr>
                <w:b/>
                <w:bCs/>
              </w:rPr>
              <w:t>Nome Unit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8FB2CAB" w14:textId="77777777" w:rsidR="00DF311C" w:rsidRDefault="000E5AC1">
            <w:r>
              <w:rPr>
                <w:rFonts w:ascii="Courier New" w:eastAsia="Courier New" w:hAnsi="Courier New" w:cs="Courier New"/>
                <w:sz w:val="20"/>
                <w:szCs w:val="20"/>
              </w:rPr>
              <w:t>uTKTF_GLOBALBLUE_10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EDA1DE" w14:textId="77777777" w:rsidR="00DF311C" w:rsidRDefault="000E5AC1">
            <w:r>
              <w:rPr>
                <w:rFonts w:ascii="Courier New" w:eastAsia="Courier New" w:hAnsi="Courier New" w:cs="Courier New"/>
                <w:sz w:val="20"/>
                <w:szCs w:val="20"/>
              </w:rPr>
              <w:t>uTKTF_GLOBALBLUE_20</w:t>
            </w:r>
          </w:p>
        </w:tc>
      </w:tr>
      <w:tr w:rsidR="00DF311C" w14:paraId="1DBCD04B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180CD3" w14:textId="77777777" w:rsidR="00DF311C" w:rsidRDefault="000E5AC1">
            <w:proofErr w:type="spellStart"/>
            <w:r>
              <w:rPr>
                <w:b/>
                <w:bCs/>
              </w:rPr>
              <w:t>Uses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WebForm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B0BA1E" w14:textId="77777777" w:rsidR="00DF311C" w:rsidRDefault="000E5AC1">
            <w:proofErr w:type="spellStart"/>
            <w:r>
              <w:rPr>
                <w:rFonts w:ascii="Courier New" w:eastAsia="Courier New" w:hAnsi="Courier New" w:cs="Courier New"/>
                <w:sz w:val="18"/>
                <w:szCs w:val="18"/>
              </w:rPr>
              <w:t>uTF_GLOBALBLUE_WebForm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E0E4F8" w14:textId="77777777" w:rsidR="00DF311C" w:rsidRDefault="000E5AC1">
            <w:r>
              <w:rPr>
                <w:rFonts w:ascii="Courier New" w:eastAsia="Courier New" w:hAnsi="Courier New" w:cs="Courier New"/>
                <w:sz w:val="18"/>
                <w:szCs w:val="18"/>
              </w:rPr>
              <w:t>uTF_GLOBALBLUE_20_WebForm</w:t>
            </w:r>
          </w:p>
        </w:tc>
      </w:tr>
      <w:tr w:rsidR="00DF311C" w14:paraId="1BAED221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F8F8AAF" w14:textId="77777777" w:rsidR="00DF311C" w:rsidRDefault="000E5AC1">
            <w:proofErr w:type="spellStart"/>
            <w:r>
              <w:rPr>
                <w:b/>
                <w:bCs/>
              </w:rPr>
              <w:t>Initialization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C859AD" w14:textId="77777777" w:rsidR="00DF311C" w:rsidRDefault="000E5AC1">
            <w:r>
              <w:rPr>
                <w:rFonts w:ascii="Courier New" w:eastAsia="Courier New" w:hAnsi="Courier New" w:cs="Courier New"/>
                <w:sz w:val="20"/>
                <w:szCs w:val="20"/>
              </w:rPr>
              <w:t>TKTF_GLOBALBLUE_10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2536A9" w14:textId="77777777" w:rsidR="00DF311C" w:rsidRDefault="000E5AC1">
            <w:r>
              <w:rPr>
                <w:rFonts w:ascii="Courier New" w:eastAsia="Courier New" w:hAnsi="Courier New" w:cs="Courier New"/>
                <w:sz w:val="20"/>
                <w:szCs w:val="20"/>
              </w:rPr>
              <w:t>TKTF_GLOBALBLUE_20</w:t>
            </w:r>
          </w:p>
        </w:tc>
      </w:tr>
    </w:tbl>
    <w:p w14:paraId="1CC00293" w14:textId="77777777" w:rsidR="00DF311C" w:rsidRDefault="000E5AC1">
      <w:pPr>
        <w:pStyle w:val="Titolo2"/>
      </w:pPr>
      <w:bookmarkStart w:id="32" w:name="_Toc213675397"/>
      <w:bookmarkStart w:id="33" w:name="_Toc213675443"/>
      <w:r>
        <w:t>6.2 Codice Funzionale</w:t>
      </w:r>
      <w:bookmarkEnd w:id="32"/>
      <w:bookmarkEnd w:id="33"/>
    </w:p>
    <w:p w14:paraId="0D2F78ED" w14:textId="77777777" w:rsidR="00DF311C" w:rsidRDefault="000E5AC1">
      <w:pPr>
        <w:spacing w:after="360"/>
      </w:pPr>
      <w:r>
        <w:rPr>
          <w:b/>
          <w:bCs/>
        </w:rPr>
        <w:t xml:space="preserve">Nota importante: </w:t>
      </w:r>
      <w:r>
        <w:t xml:space="preserve">Tutta la logica di business rimane invariata. Le uniche modifiche riguardano i riferimenti alle nuove </w:t>
      </w:r>
      <w:proofErr w:type="spellStart"/>
      <w:r>
        <w:t>unit</w:t>
      </w:r>
      <w:proofErr w:type="spellEnd"/>
      <w:r>
        <w:t xml:space="preserve"> e la registrazione del componente nel sistema.</w:t>
      </w:r>
    </w:p>
    <w:p w14:paraId="713EE66D" w14:textId="77777777" w:rsidR="00DF311C" w:rsidRDefault="000E5AC1">
      <w:pPr>
        <w:pStyle w:val="Titolo1"/>
      </w:pPr>
      <w:bookmarkStart w:id="34" w:name="_Toc213675398"/>
      <w:bookmarkStart w:id="35" w:name="_Toc213675444"/>
      <w:r>
        <w:t xml:space="preserve">7. Modifiche all'Unit </w:t>
      </w:r>
      <w:proofErr w:type="spellStart"/>
      <w:r>
        <w:t>ExternalContainer</w:t>
      </w:r>
      <w:bookmarkEnd w:id="34"/>
      <w:bookmarkEnd w:id="35"/>
      <w:proofErr w:type="spellEnd"/>
    </w:p>
    <w:p w14:paraId="151AC4A2" w14:textId="77777777" w:rsidR="00DF311C" w:rsidRDefault="000E5AC1">
      <w:pPr>
        <w:spacing w:after="240"/>
      </w:pPr>
      <w:proofErr w:type="spellStart"/>
      <w:r>
        <w:t>L'unit</w:t>
      </w:r>
      <w:proofErr w:type="spellEnd"/>
      <w: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uTKTF_GLOBALBLUE_ExternalContainer.pas</w:t>
      </w:r>
      <w:proofErr w:type="spellEnd"/>
      <w:r>
        <w:t xml:space="preserve"> è stata rinominata in </w:t>
      </w:r>
      <w:r>
        <w:rPr>
          <w:rFonts w:ascii="Courier New" w:eastAsia="Courier New" w:hAnsi="Courier New" w:cs="Courier New"/>
          <w:b/>
          <w:bCs/>
        </w:rPr>
        <w:t>uTKTF_GLOBALBLUE_20_ExternalContainer.pas</w:t>
      </w:r>
      <w:r>
        <w:t xml:space="preserve">. Questa </w:t>
      </w:r>
      <w:proofErr w:type="spellStart"/>
      <w:r>
        <w:t>unit</w:t>
      </w:r>
      <w:proofErr w:type="spellEnd"/>
      <w:r>
        <w:t xml:space="preserve"> gestisce l'esposizione dell'oggetto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</w:rPr>
        <w:t>window.external</w:t>
      </w:r>
      <w:proofErr w:type="spellEnd"/>
      <w:proofErr w:type="gramEnd"/>
      <w:r>
        <w:t xml:space="preserve"> nel </w:t>
      </w:r>
      <w:proofErr w:type="spellStart"/>
      <w:r>
        <w:t>TWebBrowser</w:t>
      </w:r>
      <w:proofErr w:type="spellEnd"/>
      <w:r>
        <w:t>.</w:t>
      </w:r>
    </w:p>
    <w:p w14:paraId="3EF63705" w14:textId="77777777" w:rsidR="00DF311C" w:rsidRDefault="000E5AC1">
      <w:pPr>
        <w:pStyle w:val="Titolo2"/>
      </w:pPr>
      <w:bookmarkStart w:id="36" w:name="_Toc213675399"/>
      <w:bookmarkStart w:id="37" w:name="_Toc213675445"/>
      <w:r>
        <w:t>7.1 Modifiche</w:t>
      </w:r>
      <w:bookmarkEnd w:id="36"/>
      <w:bookmarkEnd w:id="37"/>
    </w:p>
    <w:p w14:paraId="06A98F31" w14:textId="77777777" w:rsidR="00DF311C" w:rsidRDefault="000E5AC1">
      <w:pPr>
        <w:spacing w:after="120"/>
      </w:pPr>
      <w:r>
        <w:rPr>
          <w:b/>
          <w:bCs/>
        </w:rPr>
        <w:t xml:space="preserve">Clausola </w:t>
      </w:r>
      <w:proofErr w:type="spellStart"/>
      <w:r>
        <w:rPr>
          <w:b/>
          <w:bCs/>
        </w:rPr>
        <w:t>Uses</w:t>
      </w:r>
      <w:proofErr w:type="spellEnd"/>
      <w:r>
        <w:rPr>
          <w:b/>
          <w:bCs/>
        </w:rPr>
        <w:t xml:space="preserve"> (linea 7):</w:t>
      </w:r>
    </w:p>
    <w:p w14:paraId="31E6EC25" w14:textId="4F95E12A" w:rsidR="00DF311C" w:rsidRDefault="000E5AC1">
      <w:pPr>
        <w:pStyle w:val="CodeStyle"/>
      </w:pPr>
      <w:r>
        <w:t xml:space="preserve">// Versione 10 </w:t>
      </w:r>
      <w:proofErr w:type="spellStart"/>
      <w:r>
        <w:t>uTKTF_GLOBALBLUE_GetData_TLB_Impl</w:t>
      </w:r>
      <w:proofErr w:type="spellEnd"/>
      <w:r>
        <w:t xml:space="preserve">  </w:t>
      </w:r>
      <w:r w:rsidR="00C0098C">
        <w:br/>
      </w:r>
      <w:r>
        <w:t>// Versione 20 uTKTF_GLOBALBLUE_20_GetData_TLB_Impl</w:t>
      </w:r>
    </w:p>
    <w:p w14:paraId="02FE1AC4" w14:textId="77777777" w:rsidR="00DF311C" w:rsidRDefault="000E5AC1">
      <w:pPr>
        <w:spacing w:after="360"/>
      </w:pPr>
      <w:r>
        <w:rPr>
          <w:b/>
          <w:bCs/>
        </w:rPr>
        <w:t xml:space="preserve">Nota: </w:t>
      </w:r>
      <w:r>
        <w:t xml:space="preserve">Nonostante nella versione 20 il </w:t>
      </w:r>
      <w:proofErr w:type="spellStart"/>
      <w:r>
        <w:t>TEdgeBrowser</w:t>
      </w:r>
      <w:proofErr w:type="spellEnd"/>
      <w:r>
        <w:t xml:space="preserve"> non utilizzi più </w:t>
      </w:r>
      <w:proofErr w:type="spellStart"/>
      <w:proofErr w:type="gramStart"/>
      <w:r>
        <w:rPr>
          <w:rFonts w:ascii="Courier New" w:eastAsia="Courier New" w:hAnsi="Courier New" w:cs="Courier New"/>
        </w:rPr>
        <w:t>window.external</w:t>
      </w:r>
      <w:proofErr w:type="spellEnd"/>
      <w:proofErr w:type="gramEnd"/>
      <w:r>
        <w:t xml:space="preserve">, questa </w:t>
      </w:r>
      <w:proofErr w:type="spellStart"/>
      <w:r>
        <w:t>unit</w:t>
      </w:r>
      <w:proofErr w:type="spellEnd"/>
      <w:r>
        <w:t xml:space="preserve"> è stata mantenuta per compatibilità e possibili usi futuri.</w:t>
      </w:r>
    </w:p>
    <w:p w14:paraId="69558414" w14:textId="77777777" w:rsidR="00DF311C" w:rsidRDefault="000E5AC1">
      <w:pPr>
        <w:pStyle w:val="Titolo1"/>
      </w:pPr>
      <w:bookmarkStart w:id="38" w:name="_Toc213675400"/>
      <w:bookmarkStart w:id="39" w:name="_Toc213675446"/>
      <w:r>
        <w:t xml:space="preserve">8. Modifiche all'Unit </w:t>
      </w:r>
      <w:proofErr w:type="spellStart"/>
      <w:r>
        <w:t>GetData_TLB_Impl</w:t>
      </w:r>
      <w:bookmarkEnd w:id="38"/>
      <w:bookmarkEnd w:id="39"/>
      <w:proofErr w:type="spellEnd"/>
    </w:p>
    <w:p w14:paraId="10B8D9EC" w14:textId="77777777" w:rsidR="00DF311C" w:rsidRDefault="000E5AC1">
      <w:pPr>
        <w:spacing w:after="240"/>
      </w:pPr>
      <w:proofErr w:type="spellStart"/>
      <w:r>
        <w:t>L'unit</w:t>
      </w:r>
      <w:proofErr w:type="spellEnd"/>
      <w: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uTKTF_GLOBALBLUE_GetData_TLB_Impl.pas</w:t>
      </w:r>
      <w:proofErr w:type="spellEnd"/>
      <w:r>
        <w:t xml:space="preserve"> è stata rinominata in </w:t>
      </w:r>
      <w:r>
        <w:rPr>
          <w:rFonts w:ascii="Courier New" w:eastAsia="Courier New" w:hAnsi="Courier New" w:cs="Courier New"/>
          <w:b/>
          <w:bCs/>
        </w:rPr>
        <w:t>uTKTF_GLOBALBLUE_20_GetData_TLB_Impl.pas</w:t>
      </w:r>
      <w:r>
        <w:t xml:space="preserve">. Questa </w:t>
      </w:r>
      <w:proofErr w:type="spellStart"/>
      <w:r>
        <w:t>unit</w:t>
      </w:r>
      <w:proofErr w:type="spellEnd"/>
      <w:r>
        <w:t xml:space="preserve"> implementa l'interfaccia COM per la comunicazione JavaScript-Delphi tramite </w:t>
      </w:r>
      <w:proofErr w:type="spellStart"/>
      <w:proofErr w:type="gramStart"/>
      <w:r>
        <w:rPr>
          <w:rFonts w:ascii="Courier New" w:eastAsia="Courier New" w:hAnsi="Courier New" w:cs="Courier New"/>
        </w:rPr>
        <w:t>window.external</w:t>
      </w:r>
      <w:proofErr w:type="spellEnd"/>
      <w:proofErr w:type="gramEnd"/>
      <w:r>
        <w:t>.</w:t>
      </w:r>
    </w:p>
    <w:p w14:paraId="1E8CF75F" w14:textId="77777777" w:rsidR="00DF311C" w:rsidRDefault="000E5AC1">
      <w:pPr>
        <w:pStyle w:val="Titolo2"/>
      </w:pPr>
      <w:bookmarkStart w:id="40" w:name="_Toc213675401"/>
      <w:bookmarkStart w:id="41" w:name="_Toc213675447"/>
      <w:r>
        <w:t>8.1 Modifiche</w:t>
      </w:r>
      <w:bookmarkEnd w:id="40"/>
      <w:bookmarkEnd w:id="41"/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DF311C" w14:paraId="219CA249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</w:tcPr>
          <w:p w14:paraId="20FAB9AD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Elemento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</w:tcPr>
          <w:p w14:paraId="4DB1E43C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Versione 10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</w:tcPr>
          <w:p w14:paraId="3C8DA917" w14:textId="77777777" w:rsidR="00DF311C" w:rsidRDefault="000E5AC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Versione 20</w:t>
            </w:r>
          </w:p>
        </w:tc>
      </w:tr>
      <w:tr w:rsidR="00DF311C" w14:paraId="64C4AC16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10A9693" w14:textId="77777777" w:rsidR="00DF311C" w:rsidRDefault="000E5AC1">
            <w:proofErr w:type="spellStart"/>
            <w:r>
              <w:rPr>
                <w:b/>
                <w:bCs/>
              </w:rPr>
              <w:t>Uses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WebForm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3F46E3" w14:textId="77777777" w:rsidR="00DF311C" w:rsidRDefault="000E5AC1">
            <w:proofErr w:type="spellStart"/>
            <w:r>
              <w:rPr>
                <w:rFonts w:ascii="Courier New" w:eastAsia="Courier New" w:hAnsi="Courier New" w:cs="Courier New"/>
                <w:sz w:val="18"/>
                <w:szCs w:val="18"/>
              </w:rPr>
              <w:t>uTF_GLOBALBLUE_WebForm</w:t>
            </w:r>
            <w:proofErr w:type="spellEnd"/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C8F693A" w14:textId="77777777" w:rsidR="00DF311C" w:rsidRDefault="000E5AC1">
            <w:r>
              <w:rPr>
                <w:rFonts w:ascii="Courier New" w:eastAsia="Courier New" w:hAnsi="Courier New" w:cs="Courier New"/>
                <w:sz w:val="18"/>
                <w:szCs w:val="18"/>
              </w:rPr>
              <w:t>uTF_GLOBALBLUE_20_WebForm</w:t>
            </w:r>
          </w:p>
        </w:tc>
      </w:tr>
      <w:tr w:rsidR="00DF311C" w14:paraId="7F43C32C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80AB5E9" w14:textId="77777777" w:rsidR="00DF311C" w:rsidRDefault="000E5AC1">
            <w:r>
              <w:rPr>
                <w:b/>
                <w:bCs/>
              </w:rPr>
              <w:t>Nome DLL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DF19763" w14:textId="77777777" w:rsidR="00DF311C" w:rsidRDefault="000E5AC1">
            <w:r>
              <w:rPr>
                <w:rFonts w:ascii="Courier New" w:eastAsia="Courier New" w:hAnsi="Courier New" w:cs="Courier New"/>
                <w:sz w:val="20"/>
                <w:szCs w:val="20"/>
              </w:rPr>
              <w:t>TKTF_GLOBALBLUE_10.dll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849B8D0" w14:textId="77777777" w:rsidR="00DF311C" w:rsidRDefault="000E5AC1">
            <w:r>
              <w:rPr>
                <w:rFonts w:ascii="Courier New" w:eastAsia="Courier New" w:hAnsi="Courier New" w:cs="Courier New"/>
                <w:sz w:val="20"/>
                <w:szCs w:val="20"/>
              </w:rPr>
              <w:t>TKTF_GLOBALBLUE_20.dll</w:t>
            </w:r>
          </w:p>
        </w:tc>
      </w:tr>
    </w:tbl>
    <w:p w14:paraId="65A3775A" w14:textId="77777777" w:rsidR="00DF311C" w:rsidRDefault="000E5AC1">
      <w:pPr>
        <w:pStyle w:val="Titolo2"/>
      </w:pPr>
      <w:bookmarkStart w:id="42" w:name="_Toc213675402"/>
      <w:bookmarkStart w:id="43" w:name="_Toc213675448"/>
      <w:r>
        <w:t xml:space="preserve">8.2 Caricamento </w:t>
      </w:r>
      <w:proofErr w:type="spellStart"/>
      <w:r>
        <w:t>TypeLib</w:t>
      </w:r>
      <w:bookmarkEnd w:id="42"/>
      <w:bookmarkEnd w:id="43"/>
      <w:proofErr w:type="spellEnd"/>
    </w:p>
    <w:p w14:paraId="4B26A803" w14:textId="77777777" w:rsidR="00DF311C" w:rsidRDefault="000E5AC1">
      <w:pPr>
        <w:spacing w:after="120"/>
      </w:pPr>
      <w:r>
        <w:t xml:space="preserve">Il </w:t>
      </w:r>
      <w:proofErr w:type="spellStart"/>
      <w:r>
        <w:t>costructor</w:t>
      </w:r>
      <w:proofErr w:type="spellEnd"/>
      <w:r>
        <w:t xml:space="preserve"> carica la </w:t>
      </w:r>
      <w:proofErr w:type="spellStart"/>
      <w:r>
        <w:t>TypeLibrary</w:t>
      </w:r>
      <w:proofErr w:type="spellEnd"/>
      <w:r>
        <w:t xml:space="preserve"> dalla DLL appropriata:</w:t>
      </w:r>
    </w:p>
    <w:p w14:paraId="25085FA5" w14:textId="0ECCFE24" w:rsidR="00DF311C" w:rsidRPr="00C0098C" w:rsidRDefault="000E5AC1" w:rsidP="00C0098C">
      <w:pPr>
        <w:pStyle w:val="CodeStyle"/>
        <w:spacing w:after="360"/>
        <w:ind w:left="708"/>
        <w:rPr>
          <w:i/>
          <w:iCs/>
        </w:rPr>
      </w:pPr>
      <w:proofErr w:type="spellStart"/>
      <w:r w:rsidRPr="00C0098C">
        <w:rPr>
          <w:i/>
          <w:iCs/>
        </w:rPr>
        <w:t>constructor</w:t>
      </w:r>
      <w:proofErr w:type="spellEnd"/>
      <w:r w:rsidRPr="00C0098C">
        <w:rPr>
          <w:i/>
          <w:iCs/>
        </w:rPr>
        <w:t xml:space="preserve"> </w:t>
      </w:r>
      <w:proofErr w:type="spellStart"/>
      <w:r w:rsidRPr="00C0098C">
        <w:rPr>
          <w:i/>
          <w:iCs/>
        </w:rPr>
        <w:t>TMyExternal.Create</w:t>
      </w:r>
      <w:proofErr w:type="spellEnd"/>
      <w:r w:rsidRPr="00C0098C">
        <w:rPr>
          <w:i/>
          <w:iCs/>
        </w:rPr>
        <w:t xml:space="preserve">; </w:t>
      </w:r>
      <w:r w:rsidR="00C0098C" w:rsidRPr="00C0098C">
        <w:rPr>
          <w:i/>
          <w:iCs/>
        </w:rPr>
        <w:br/>
      </w:r>
      <w:proofErr w:type="spellStart"/>
      <w:r w:rsidRPr="00C0098C">
        <w:rPr>
          <w:i/>
          <w:iCs/>
        </w:rPr>
        <w:t>begin</w:t>
      </w:r>
      <w:proofErr w:type="spellEnd"/>
      <w:r w:rsidRPr="00C0098C">
        <w:rPr>
          <w:i/>
          <w:iCs/>
        </w:rPr>
        <w:t xml:space="preserve">   </w:t>
      </w:r>
      <w:r w:rsidR="00C0098C" w:rsidRPr="00C0098C">
        <w:rPr>
          <w:i/>
          <w:iCs/>
        </w:rPr>
        <w:br/>
      </w:r>
      <w:r w:rsidR="00C0098C" w:rsidRPr="00C0098C">
        <w:rPr>
          <w:i/>
          <w:iCs/>
        </w:rPr>
        <w:lastRenderedPageBreak/>
        <w:t xml:space="preserve">  </w:t>
      </w:r>
      <w:proofErr w:type="spellStart"/>
      <w:r w:rsidRPr="00C0098C">
        <w:rPr>
          <w:i/>
          <w:iCs/>
        </w:rPr>
        <w:t>ExeName</w:t>
      </w:r>
      <w:proofErr w:type="spellEnd"/>
      <w:proofErr w:type="gramStart"/>
      <w:r w:rsidRPr="00C0098C">
        <w:rPr>
          <w:i/>
          <w:iCs/>
        </w:rPr>
        <w:t xml:space="preserve"> :=</w:t>
      </w:r>
      <w:proofErr w:type="gramEnd"/>
      <w:r w:rsidRPr="00C0098C">
        <w:rPr>
          <w:i/>
          <w:iCs/>
        </w:rPr>
        <w:t xml:space="preserve"> </w:t>
      </w:r>
      <w:proofErr w:type="spellStart"/>
      <w:proofErr w:type="gramStart"/>
      <w:r w:rsidRPr="00C0098C">
        <w:rPr>
          <w:i/>
          <w:iCs/>
        </w:rPr>
        <w:t>ExtractFilePath</w:t>
      </w:r>
      <w:proofErr w:type="spellEnd"/>
      <w:r w:rsidRPr="00C0098C">
        <w:rPr>
          <w:i/>
          <w:iCs/>
        </w:rPr>
        <w:t>(</w:t>
      </w:r>
      <w:proofErr w:type="spellStart"/>
      <w:r w:rsidRPr="00C0098C">
        <w:rPr>
          <w:i/>
          <w:iCs/>
        </w:rPr>
        <w:t>ParamStr</w:t>
      </w:r>
      <w:proofErr w:type="spellEnd"/>
      <w:r w:rsidRPr="00C0098C">
        <w:rPr>
          <w:i/>
          <w:iCs/>
        </w:rPr>
        <w:t>(</w:t>
      </w:r>
      <w:proofErr w:type="gramEnd"/>
      <w:r w:rsidRPr="00C0098C">
        <w:rPr>
          <w:i/>
          <w:iCs/>
        </w:rPr>
        <w:t>0)) + 'TKTF_GLOBALBLUE_20.dll';</w:t>
      </w:r>
      <w:r w:rsidR="00C0098C" w:rsidRPr="00C0098C">
        <w:rPr>
          <w:i/>
          <w:iCs/>
        </w:rPr>
        <w:br/>
        <w:t xml:space="preserve">  </w:t>
      </w:r>
      <w:proofErr w:type="spellStart"/>
      <w:r w:rsidRPr="00C0098C">
        <w:rPr>
          <w:i/>
          <w:iCs/>
        </w:rPr>
        <w:t>OleCheck</w:t>
      </w:r>
      <w:proofErr w:type="spellEnd"/>
      <w:r w:rsidRPr="00C0098C">
        <w:rPr>
          <w:i/>
          <w:iCs/>
        </w:rPr>
        <w:t>(</w:t>
      </w:r>
      <w:proofErr w:type="spellStart"/>
      <w:proofErr w:type="gramStart"/>
      <w:r w:rsidRPr="00C0098C">
        <w:rPr>
          <w:i/>
          <w:iCs/>
        </w:rPr>
        <w:t>LoadTypeLib</w:t>
      </w:r>
      <w:proofErr w:type="spellEnd"/>
      <w:r w:rsidRPr="00C0098C">
        <w:rPr>
          <w:i/>
          <w:iCs/>
        </w:rPr>
        <w:t>(</w:t>
      </w:r>
      <w:proofErr w:type="spellStart"/>
      <w:r w:rsidRPr="00C0098C">
        <w:rPr>
          <w:i/>
          <w:iCs/>
        </w:rPr>
        <w:t>PWideChar</w:t>
      </w:r>
      <w:proofErr w:type="spellEnd"/>
      <w:r w:rsidRPr="00C0098C">
        <w:rPr>
          <w:i/>
          <w:iCs/>
        </w:rPr>
        <w:t>(</w:t>
      </w:r>
      <w:proofErr w:type="spellStart"/>
      <w:proofErr w:type="gramEnd"/>
      <w:r w:rsidRPr="00C0098C">
        <w:rPr>
          <w:i/>
          <w:iCs/>
        </w:rPr>
        <w:t>ExeName</w:t>
      </w:r>
      <w:proofErr w:type="spellEnd"/>
      <w:r w:rsidRPr="00C0098C">
        <w:rPr>
          <w:i/>
          <w:iCs/>
        </w:rPr>
        <w:t xml:space="preserve">), </w:t>
      </w:r>
      <w:proofErr w:type="spellStart"/>
      <w:r w:rsidRPr="00C0098C">
        <w:rPr>
          <w:i/>
          <w:iCs/>
        </w:rPr>
        <w:t>TypeLib</w:t>
      </w:r>
      <w:proofErr w:type="spellEnd"/>
      <w:r w:rsidRPr="00C0098C">
        <w:rPr>
          <w:i/>
          <w:iCs/>
        </w:rPr>
        <w:t>)</w:t>
      </w:r>
      <w:proofErr w:type="gramStart"/>
      <w:r w:rsidRPr="00C0098C">
        <w:rPr>
          <w:i/>
          <w:iCs/>
        </w:rPr>
        <w:t xml:space="preserve">);   </w:t>
      </w:r>
      <w:proofErr w:type="gramEnd"/>
      <w:r w:rsidR="00C0098C" w:rsidRPr="00C0098C">
        <w:rPr>
          <w:i/>
          <w:iCs/>
        </w:rPr>
        <w:br/>
        <w:t xml:space="preserve">  </w:t>
      </w:r>
      <w:proofErr w:type="spellStart"/>
      <w:r w:rsidRPr="00C0098C">
        <w:rPr>
          <w:i/>
          <w:iCs/>
        </w:rPr>
        <w:t>inherited</w:t>
      </w:r>
      <w:proofErr w:type="spellEnd"/>
      <w:r w:rsidRPr="00C0098C">
        <w:rPr>
          <w:i/>
          <w:iCs/>
        </w:rPr>
        <w:t xml:space="preserve"> </w:t>
      </w:r>
      <w:proofErr w:type="gramStart"/>
      <w:r w:rsidRPr="00C0098C">
        <w:rPr>
          <w:i/>
          <w:iCs/>
        </w:rPr>
        <w:t>Create(</w:t>
      </w:r>
      <w:proofErr w:type="spellStart"/>
      <w:proofErr w:type="gramEnd"/>
      <w:r w:rsidRPr="00C0098C">
        <w:rPr>
          <w:i/>
          <w:iCs/>
        </w:rPr>
        <w:t>TypeLib</w:t>
      </w:r>
      <w:proofErr w:type="spellEnd"/>
      <w:r w:rsidRPr="00C0098C">
        <w:rPr>
          <w:i/>
          <w:iCs/>
        </w:rPr>
        <w:t xml:space="preserve">, </w:t>
      </w:r>
      <w:proofErr w:type="spellStart"/>
      <w:r w:rsidRPr="00C0098C">
        <w:rPr>
          <w:i/>
          <w:iCs/>
        </w:rPr>
        <w:t>IWebBrowserGetData</w:t>
      </w:r>
      <w:proofErr w:type="spellEnd"/>
      <w:r w:rsidRPr="00C0098C">
        <w:rPr>
          <w:i/>
          <w:iCs/>
        </w:rPr>
        <w:t xml:space="preserve">); </w:t>
      </w:r>
      <w:r w:rsidR="00C0098C" w:rsidRPr="00C0098C">
        <w:rPr>
          <w:i/>
          <w:iCs/>
        </w:rPr>
        <w:br/>
      </w:r>
      <w:r w:rsidRPr="00C0098C">
        <w:rPr>
          <w:i/>
          <w:iCs/>
        </w:rPr>
        <w:t>end;</w:t>
      </w:r>
    </w:p>
    <w:p w14:paraId="4D4A0DA4" w14:textId="77777777" w:rsidR="00DF311C" w:rsidRDefault="000E5AC1">
      <w:pPr>
        <w:pStyle w:val="Titolo1"/>
      </w:pPr>
      <w:bookmarkStart w:id="44" w:name="_Toc213675403"/>
      <w:bookmarkStart w:id="45" w:name="_Toc213675449"/>
      <w:r>
        <w:t>9. Inizializzazione del WebView2</w:t>
      </w:r>
      <w:bookmarkEnd w:id="44"/>
      <w:bookmarkEnd w:id="45"/>
    </w:p>
    <w:p w14:paraId="2CFA181B" w14:textId="77777777" w:rsidR="00DF311C" w:rsidRDefault="000E5AC1">
      <w:pPr>
        <w:pStyle w:val="Titolo2"/>
      </w:pPr>
      <w:bookmarkStart w:id="46" w:name="_Toc213675404"/>
      <w:bookmarkStart w:id="47" w:name="_Toc213675450"/>
      <w:r>
        <w:t>9.1 Processo di Inizializzazione</w:t>
      </w:r>
      <w:bookmarkEnd w:id="46"/>
      <w:bookmarkEnd w:id="47"/>
    </w:p>
    <w:p w14:paraId="117BA13F" w14:textId="77777777" w:rsidR="00DF311C" w:rsidRDefault="000E5AC1">
      <w:pPr>
        <w:spacing w:after="120"/>
      </w:pPr>
      <w:r>
        <w:t xml:space="preserve">Il </w:t>
      </w:r>
      <w:proofErr w:type="spellStart"/>
      <w:r>
        <w:t>TEdgeBrowser</w:t>
      </w:r>
      <w:proofErr w:type="spellEnd"/>
      <w:r>
        <w:t xml:space="preserve"> richiede un'inizializzazione esplicita che non era necessaria con </w:t>
      </w:r>
      <w:proofErr w:type="spellStart"/>
      <w:r>
        <w:t>TWebBrowser</w:t>
      </w:r>
      <w:proofErr w:type="spellEnd"/>
      <w:r>
        <w:t>:</w:t>
      </w:r>
    </w:p>
    <w:p w14:paraId="4EE5B4C5" w14:textId="77777777" w:rsidR="00DF311C" w:rsidRDefault="000E5AC1">
      <w:pPr>
        <w:pStyle w:val="Paragrafoelenco"/>
        <w:numPr>
          <w:ilvl w:val="0"/>
          <w:numId w:val="3"/>
        </w:numPr>
      </w:pPr>
      <w:proofErr w:type="spellStart"/>
      <w:r>
        <w:rPr>
          <w:b/>
          <w:bCs/>
        </w:rPr>
        <w:t>FormCreate</w:t>
      </w:r>
      <w:proofErr w:type="spellEnd"/>
      <w:r>
        <w:rPr>
          <w:b/>
          <w:bCs/>
        </w:rPr>
        <w:t xml:space="preserve">: </w:t>
      </w:r>
      <w:r>
        <w:t>Inizializza i flag di stato (</w:t>
      </w:r>
      <w:proofErr w:type="spellStart"/>
      <w:r>
        <w:rPr>
          <w:rFonts w:ascii="Courier New" w:eastAsia="Courier New" w:hAnsi="Courier New" w:cs="Courier New"/>
        </w:rPr>
        <w:t>fWebViewReady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</w:rPr>
        <w:t>fNavigated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</w:rPr>
        <w:t>fInitialNavigated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</w:rPr>
        <w:t>fPostExecuted</w:t>
      </w:r>
      <w:proofErr w:type="spellEnd"/>
      <w:r>
        <w:t>)</w:t>
      </w:r>
    </w:p>
    <w:p w14:paraId="5D54BCF6" w14:textId="77777777" w:rsidR="00DF311C" w:rsidRDefault="000E5AC1">
      <w:pPr>
        <w:pStyle w:val="Paragrafoelenco"/>
        <w:numPr>
          <w:ilvl w:val="0"/>
          <w:numId w:val="3"/>
        </w:numPr>
      </w:pPr>
      <w:proofErr w:type="spellStart"/>
      <w:r>
        <w:rPr>
          <w:b/>
          <w:bCs/>
        </w:rPr>
        <w:t>FormActivate</w:t>
      </w:r>
      <w:proofErr w:type="spellEnd"/>
      <w:r>
        <w:rPr>
          <w:b/>
          <w:bCs/>
        </w:rPr>
        <w:t xml:space="preserve">: </w:t>
      </w:r>
      <w:r>
        <w:t xml:space="preserve">Chiama </w:t>
      </w:r>
      <w:r>
        <w:rPr>
          <w:rFonts w:ascii="Courier New" w:eastAsia="Courier New" w:hAnsi="Courier New" w:cs="Courier New"/>
        </w:rPr>
        <w:t>EdgeBrowser1.CreateWebView</w:t>
      </w:r>
      <w:r>
        <w:t xml:space="preserve"> con gestione degli errori</w:t>
      </w:r>
    </w:p>
    <w:p w14:paraId="16E20994" w14:textId="77777777" w:rsidR="00DF311C" w:rsidRDefault="000E5AC1">
      <w:pPr>
        <w:pStyle w:val="Paragrafoelenco"/>
        <w:numPr>
          <w:ilvl w:val="0"/>
          <w:numId w:val="3"/>
        </w:numPr>
        <w:spacing w:after="240"/>
      </w:pPr>
      <w:proofErr w:type="spellStart"/>
      <w:r>
        <w:rPr>
          <w:b/>
          <w:bCs/>
        </w:rPr>
        <w:t>CreateWebViewCompleted</w:t>
      </w:r>
      <w:proofErr w:type="spellEnd"/>
      <w:r>
        <w:rPr>
          <w:b/>
          <w:bCs/>
        </w:rPr>
        <w:t xml:space="preserve">: </w:t>
      </w:r>
      <w:r>
        <w:t xml:space="preserve">Verifica il risultato (HRESULT) e avvia la navigazione solo se </w:t>
      </w:r>
      <w:proofErr w:type="spellStart"/>
      <w:r>
        <w:rPr>
          <w:rFonts w:ascii="Courier New" w:eastAsia="Courier New" w:hAnsi="Courier New" w:cs="Courier New"/>
        </w:rPr>
        <w:t>AResult</w:t>
      </w:r>
      <w:proofErr w:type="spellEnd"/>
      <w:r>
        <w:rPr>
          <w:rFonts w:ascii="Courier New" w:eastAsia="Courier New" w:hAnsi="Courier New" w:cs="Courier New"/>
        </w:rPr>
        <w:t xml:space="preserve"> = S_OK</w:t>
      </w:r>
    </w:p>
    <w:p w14:paraId="78962EEE" w14:textId="77777777" w:rsidR="00DF311C" w:rsidRDefault="000E5AC1">
      <w:pPr>
        <w:spacing w:after="120"/>
      </w:pPr>
      <w:r>
        <w:rPr>
          <w:b/>
          <w:bCs/>
        </w:rPr>
        <w:t>Gestione Errori Runtime:</w:t>
      </w:r>
    </w:p>
    <w:p w14:paraId="34935B32" w14:textId="77777777" w:rsidR="00DF311C" w:rsidRDefault="000E5AC1">
      <w:pPr>
        <w:pStyle w:val="Paragrafoelenco"/>
        <w:numPr>
          <w:ilvl w:val="0"/>
          <w:numId w:val="2"/>
        </w:numPr>
      </w:pPr>
      <w:r>
        <w:t>Verifica della presenza del Microsoft Edge WebView2 Runtime</w:t>
      </w:r>
    </w:p>
    <w:p w14:paraId="141E5506" w14:textId="77777777" w:rsidR="00DF311C" w:rsidRDefault="000E5AC1">
      <w:pPr>
        <w:pStyle w:val="Paragrafoelenco"/>
        <w:numPr>
          <w:ilvl w:val="0"/>
          <w:numId w:val="2"/>
        </w:numPr>
      </w:pPr>
      <w:r>
        <w:t>Messaggi di errore informativi per l'utente con link al download</w:t>
      </w:r>
    </w:p>
    <w:p w14:paraId="6AB08212" w14:textId="77777777" w:rsidR="00DF311C" w:rsidRDefault="000E5AC1">
      <w:pPr>
        <w:pStyle w:val="Paragrafoelenco"/>
        <w:numPr>
          <w:ilvl w:val="0"/>
          <w:numId w:val="2"/>
        </w:numPr>
        <w:spacing w:after="360"/>
      </w:pPr>
      <w:proofErr w:type="spellStart"/>
      <w:r>
        <w:t>Logging</w:t>
      </w:r>
      <w:proofErr w:type="spellEnd"/>
      <w:r>
        <w:t xml:space="preserve"> dettagliato degli errori per il debug</w:t>
      </w:r>
    </w:p>
    <w:p w14:paraId="107AE3E7" w14:textId="77777777" w:rsidR="00DF311C" w:rsidRDefault="000E5AC1">
      <w:pPr>
        <w:pStyle w:val="Titolo1"/>
      </w:pPr>
      <w:bookmarkStart w:id="48" w:name="_Toc213675405"/>
      <w:bookmarkStart w:id="49" w:name="_Toc213675451"/>
      <w:r>
        <w:t>10. Nuove Funzionalità</w:t>
      </w:r>
      <w:bookmarkEnd w:id="48"/>
      <w:bookmarkEnd w:id="49"/>
    </w:p>
    <w:p w14:paraId="5585D5F4" w14:textId="77777777" w:rsidR="00DF311C" w:rsidRDefault="000E5AC1">
      <w:pPr>
        <w:pStyle w:val="Titolo2"/>
      </w:pPr>
      <w:bookmarkStart w:id="50" w:name="_Toc213675406"/>
      <w:bookmarkStart w:id="51" w:name="_Toc213675452"/>
      <w:r>
        <w:t xml:space="preserve">10.1 </w:t>
      </w:r>
      <w:proofErr w:type="spellStart"/>
      <w:r>
        <w:t>Logging</w:t>
      </w:r>
      <w:proofErr w:type="spellEnd"/>
      <w:r>
        <w:t xml:space="preserve"> della Console JavaScript</w:t>
      </w:r>
      <w:bookmarkEnd w:id="50"/>
      <w:bookmarkEnd w:id="51"/>
    </w:p>
    <w:p w14:paraId="0A6DE4F5" w14:textId="77777777" w:rsidR="00DF311C" w:rsidRDefault="000E5AC1">
      <w:pPr>
        <w:spacing w:after="120"/>
      </w:pPr>
      <w:r>
        <w:t xml:space="preserve">È stato implementato il metodo </w:t>
      </w:r>
      <w:proofErr w:type="spellStart"/>
      <w:r>
        <w:rPr>
          <w:b/>
          <w:bCs/>
        </w:rPr>
        <w:t>SetupConsoleLogging</w:t>
      </w:r>
      <w:proofErr w:type="spellEnd"/>
      <w:r>
        <w:t xml:space="preserve"> che intercetta i messaggi della console JavaScript (</w:t>
      </w:r>
      <w:r>
        <w:rPr>
          <w:rFonts w:ascii="Courier New" w:eastAsia="Courier New" w:hAnsi="Courier New" w:cs="Courier New"/>
        </w:rPr>
        <w:t>console.log</w:t>
      </w:r>
      <w:r>
        <w:t xml:space="preserve">, </w:t>
      </w:r>
      <w:proofErr w:type="spellStart"/>
      <w:proofErr w:type="gramStart"/>
      <w:r>
        <w:rPr>
          <w:rFonts w:ascii="Courier New" w:eastAsia="Courier New" w:hAnsi="Courier New" w:cs="Courier New"/>
        </w:rPr>
        <w:t>console.error</w:t>
      </w:r>
      <w:proofErr w:type="spellEnd"/>
      <w:proofErr w:type="gramEnd"/>
      <w:r>
        <w:t xml:space="preserve">, </w:t>
      </w:r>
      <w:proofErr w:type="spellStart"/>
      <w:proofErr w:type="gramStart"/>
      <w:r>
        <w:rPr>
          <w:rFonts w:ascii="Courier New" w:eastAsia="Courier New" w:hAnsi="Courier New" w:cs="Courier New"/>
        </w:rPr>
        <w:t>console.warn</w:t>
      </w:r>
      <w:proofErr w:type="spellEnd"/>
      <w:proofErr w:type="gramEnd"/>
      <w:r>
        <w:t xml:space="preserve">) e gli errori </w:t>
      </w:r>
      <w:proofErr w:type="spellStart"/>
      <w:r>
        <w:t>runtime</w:t>
      </w:r>
      <w:proofErr w:type="spellEnd"/>
      <w:r>
        <w:t xml:space="preserve">, inviandoli all'applicazione Delphi tramite </w:t>
      </w:r>
      <w:proofErr w:type="spellStart"/>
      <w:r>
        <w:rPr>
          <w:rFonts w:ascii="Courier New" w:eastAsia="Courier New" w:hAnsi="Courier New" w:cs="Courier New"/>
        </w:rPr>
        <w:t>postMessage</w:t>
      </w:r>
      <w:proofErr w:type="spellEnd"/>
      <w:r>
        <w:t xml:space="preserve">. Questo facilita enormemente il debug delle interazioni con la web </w:t>
      </w:r>
      <w:proofErr w:type="spellStart"/>
      <w:r>
        <w:t>application</w:t>
      </w:r>
      <w:proofErr w:type="spellEnd"/>
      <w:r>
        <w:t>.</w:t>
      </w:r>
    </w:p>
    <w:p w14:paraId="34F55363" w14:textId="77777777" w:rsidR="00DF311C" w:rsidRDefault="000E5AC1">
      <w:pPr>
        <w:pStyle w:val="Titolo2"/>
      </w:pPr>
      <w:bookmarkStart w:id="52" w:name="_Toc213675407"/>
      <w:bookmarkStart w:id="53" w:name="_Toc213675453"/>
      <w:r>
        <w:t>10.2 Gestione Migliorata degli Stati</w:t>
      </w:r>
      <w:bookmarkEnd w:id="52"/>
      <w:bookmarkEnd w:id="53"/>
    </w:p>
    <w:p w14:paraId="428CC246" w14:textId="77777777" w:rsidR="00DF311C" w:rsidRDefault="000E5AC1">
      <w:pPr>
        <w:spacing w:after="120"/>
      </w:pPr>
      <w:r>
        <w:t>Sono stati aggiunti nuovi flag per gestire meglio il flusso asincrono del WebView2:</w:t>
      </w:r>
    </w:p>
    <w:p w14:paraId="2D05D1F2" w14:textId="77777777" w:rsidR="00DF311C" w:rsidRDefault="000E5AC1">
      <w:pPr>
        <w:pStyle w:val="Paragrafoelenco"/>
        <w:numPr>
          <w:ilvl w:val="0"/>
          <w:numId w:val="2"/>
        </w:numPr>
      </w:pPr>
      <w:proofErr w:type="spellStart"/>
      <w:r>
        <w:rPr>
          <w:rFonts w:ascii="Courier New" w:eastAsia="Courier New" w:hAnsi="Courier New" w:cs="Courier New"/>
          <w:b/>
          <w:bCs/>
        </w:rPr>
        <w:t>fWebViewReady</w:t>
      </w:r>
      <w:proofErr w:type="spellEnd"/>
      <w:r>
        <w:t xml:space="preserve"> - Indica quando il WebView2 è completamente inizializzato</w:t>
      </w:r>
    </w:p>
    <w:p w14:paraId="5353F493" w14:textId="77777777" w:rsidR="00DF311C" w:rsidRDefault="000E5AC1">
      <w:pPr>
        <w:pStyle w:val="Paragrafoelenco"/>
        <w:numPr>
          <w:ilvl w:val="0"/>
          <w:numId w:val="2"/>
        </w:numPr>
      </w:pPr>
      <w:proofErr w:type="spellStart"/>
      <w:r>
        <w:rPr>
          <w:rFonts w:ascii="Courier New" w:eastAsia="Courier New" w:hAnsi="Courier New" w:cs="Courier New"/>
          <w:b/>
          <w:bCs/>
        </w:rPr>
        <w:t>fInitialNavigated</w:t>
      </w:r>
      <w:proofErr w:type="spellEnd"/>
      <w:r>
        <w:t xml:space="preserve"> - Traccia la prima navigazione a /</w:t>
      </w:r>
      <w:proofErr w:type="spellStart"/>
      <w:r>
        <w:t>ui</w:t>
      </w:r>
      <w:proofErr w:type="spellEnd"/>
    </w:p>
    <w:p w14:paraId="56DA8611" w14:textId="77777777" w:rsidR="00DF311C" w:rsidRDefault="000E5AC1">
      <w:pPr>
        <w:pStyle w:val="Paragrafoelenco"/>
        <w:numPr>
          <w:ilvl w:val="0"/>
          <w:numId w:val="2"/>
        </w:numPr>
        <w:spacing w:after="360"/>
      </w:pPr>
      <w:proofErr w:type="spellStart"/>
      <w:r>
        <w:rPr>
          <w:rFonts w:ascii="Courier New" w:eastAsia="Courier New" w:hAnsi="Courier New" w:cs="Courier New"/>
          <w:b/>
          <w:bCs/>
        </w:rPr>
        <w:t>fPostExecuted</w:t>
      </w:r>
      <w:proofErr w:type="spellEnd"/>
      <w:r>
        <w:t xml:space="preserve"> - Verifica l'esecuzione del POST</w:t>
      </w:r>
    </w:p>
    <w:p w14:paraId="18560BC7" w14:textId="77777777" w:rsidR="00DF311C" w:rsidRDefault="000E5AC1">
      <w:pPr>
        <w:pStyle w:val="Titolo1"/>
      </w:pPr>
      <w:bookmarkStart w:id="54" w:name="_Toc213675408"/>
      <w:bookmarkStart w:id="55" w:name="_Toc213675454"/>
      <w:r>
        <w:t>11. Requisiti di Sistema e Compatibilità</w:t>
      </w:r>
      <w:bookmarkEnd w:id="54"/>
      <w:bookmarkEnd w:id="55"/>
    </w:p>
    <w:p w14:paraId="380E7D5A" w14:textId="77777777" w:rsidR="00DF311C" w:rsidRDefault="000E5AC1">
      <w:pPr>
        <w:pStyle w:val="Titolo2"/>
      </w:pPr>
      <w:bookmarkStart w:id="56" w:name="_Toc213675409"/>
      <w:bookmarkStart w:id="57" w:name="_Toc213675455"/>
      <w:r>
        <w:t>11.1 Requisiti IDE Delphi</w:t>
      </w:r>
      <w:bookmarkEnd w:id="56"/>
      <w:bookmarkEnd w:id="57"/>
    </w:p>
    <w:p w14:paraId="1EEBB80B" w14:textId="77777777" w:rsidR="00DF311C" w:rsidRDefault="000E5AC1">
      <w:pPr>
        <w:spacing w:after="120"/>
      </w:pPr>
      <w:r>
        <w:rPr>
          <w:b/>
          <w:bCs/>
        </w:rPr>
        <w:t>Versioni Delphi Supportate</w:t>
      </w:r>
    </w:p>
    <w:p w14:paraId="54004960" w14:textId="70FAADAC" w:rsidR="00DF311C" w:rsidRDefault="000E5AC1">
      <w:pPr>
        <w:pStyle w:val="Paragrafoelenco"/>
        <w:numPr>
          <w:ilvl w:val="0"/>
          <w:numId w:val="2"/>
        </w:numPr>
      </w:pPr>
      <w:r>
        <w:rPr>
          <w:b/>
          <w:bCs/>
        </w:rPr>
        <w:t>Delphi 13.x (</w:t>
      </w:r>
      <w:r w:rsidR="00471532">
        <w:rPr>
          <w:b/>
          <w:bCs/>
        </w:rPr>
        <w:t>Florence</w:t>
      </w:r>
      <w:r>
        <w:rPr>
          <w:b/>
          <w:bCs/>
        </w:rPr>
        <w:t xml:space="preserve">) e successive: </w:t>
      </w:r>
      <w:r>
        <w:t xml:space="preserve">Completamente supportato con componente </w:t>
      </w:r>
      <w:proofErr w:type="spellStart"/>
      <w:r>
        <w:t>TEdgeBrowser</w:t>
      </w:r>
      <w:proofErr w:type="spellEnd"/>
      <w:r>
        <w:t xml:space="preserve"> nativo</w:t>
      </w:r>
    </w:p>
    <w:p w14:paraId="2A0BB760" w14:textId="77777777" w:rsidR="00DF311C" w:rsidRDefault="000E5AC1">
      <w:pPr>
        <w:pStyle w:val="Paragrafoelenco"/>
        <w:numPr>
          <w:ilvl w:val="0"/>
          <w:numId w:val="2"/>
        </w:numPr>
        <w:spacing w:after="240"/>
      </w:pPr>
      <w:r>
        <w:rPr>
          <w:b/>
          <w:bCs/>
        </w:rPr>
        <w:lastRenderedPageBreak/>
        <w:t xml:space="preserve">Delphi 12.x e precedenti: </w:t>
      </w:r>
      <w:r>
        <w:t xml:space="preserve">Non supportato - il componente </w:t>
      </w:r>
      <w:proofErr w:type="spellStart"/>
      <w:r>
        <w:t>TEdgeBrowser</w:t>
      </w:r>
      <w:proofErr w:type="spellEnd"/>
      <w:r>
        <w:t xml:space="preserve"> non è disponibile nativamente</w:t>
      </w:r>
    </w:p>
    <w:p w14:paraId="1E86AD00" w14:textId="15ECB1E4" w:rsidR="00DF311C" w:rsidRDefault="000E5AC1" w:rsidP="00471532">
      <w:pPr>
        <w:spacing w:after="360"/>
        <w:jc w:val="both"/>
      </w:pPr>
      <w:r>
        <w:rPr>
          <w:b/>
          <w:bCs/>
          <w:color w:val="C00000"/>
        </w:rPr>
        <w:t xml:space="preserve">Nota Importante: </w:t>
      </w:r>
      <w:r>
        <w:t xml:space="preserve">Il componente </w:t>
      </w:r>
      <w:proofErr w:type="spellStart"/>
      <w:r>
        <w:rPr>
          <w:rFonts w:ascii="Courier New" w:eastAsia="Courier New" w:hAnsi="Courier New" w:cs="Courier New"/>
          <w:b/>
          <w:bCs/>
        </w:rPr>
        <w:t>TEdgeBrowser</w:t>
      </w:r>
      <w:proofErr w:type="spellEnd"/>
      <w:r>
        <w:t xml:space="preserve"> è stato introdotto in Delphi 13 (</w:t>
      </w:r>
      <w:r w:rsidR="00471532">
        <w:t>Florence</w:t>
      </w:r>
      <w:r>
        <w:t xml:space="preserve">). Per versioni precedenti di Delphi, è necessario continuare a utilizzare la versione 10 con </w:t>
      </w:r>
      <w:proofErr w:type="spellStart"/>
      <w:r>
        <w:rPr>
          <w:rFonts w:ascii="Courier New" w:eastAsia="Courier New" w:hAnsi="Courier New" w:cs="Courier New"/>
          <w:b/>
          <w:bCs/>
        </w:rPr>
        <w:t>TWebBrowser</w:t>
      </w:r>
      <w:proofErr w:type="spellEnd"/>
      <w:r>
        <w:t xml:space="preserve"> oppure integrare componenti di terze parti che supportano WebView2.</w:t>
      </w:r>
    </w:p>
    <w:p w14:paraId="2FA7ABA6" w14:textId="77777777" w:rsidR="00DF311C" w:rsidRDefault="000E5AC1">
      <w:pPr>
        <w:pStyle w:val="Titolo2"/>
      </w:pPr>
      <w:bookmarkStart w:id="58" w:name="_Toc213675410"/>
      <w:bookmarkStart w:id="59" w:name="_Toc213675456"/>
      <w:r>
        <w:t>11.2 Requisiti Runtime</w:t>
      </w:r>
      <w:bookmarkEnd w:id="58"/>
      <w:bookmarkEnd w:id="59"/>
    </w:p>
    <w:p w14:paraId="4E70C031" w14:textId="77777777" w:rsidR="00DF311C" w:rsidRDefault="000E5AC1">
      <w:pPr>
        <w:spacing w:after="120"/>
      </w:pPr>
      <w:r>
        <w:rPr>
          <w:b/>
          <w:bCs/>
        </w:rPr>
        <w:t>Microsoft Edge WebView2 Runtime</w:t>
      </w:r>
    </w:p>
    <w:p w14:paraId="5689FD2D" w14:textId="77777777" w:rsidR="00DF311C" w:rsidRDefault="000E5AC1">
      <w:pPr>
        <w:pStyle w:val="Paragrafoelenco"/>
        <w:numPr>
          <w:ilvl w:val="0"/>
          <w:numId w:val="2"/>
        </w:numPr>
      </w:pPr>
      <w:r>
        <w:t xml:space="preserve">Download: </w:t>
      </w:r>
      <w:bookmarkStart w:id="60" w:name="OLE_LINK3"/>
      <w:bookmarkStart w:id="61" w:name="OLE_LINK4"/>
      <w:r>
        <w:rPr>
          <w:color w:val="0563C1"/>
          <w:u w:val="single"/>
        </w:rPr>
        <w:t>https://go.microsoft.com/fwlink/p/?LinkId=2124703</w:t>
      </w:r>
      <w:bookmarkEnd w:id="60"/>
    </w:p>
    <w:bookmarkEnd w:id="61"/>
    <w:p w14:paraId="06C29E56" w14:textId="77777777" w:rsidR="00DF311C" w:rsidRDefault="000E5AC1">
      <w:pPr>
        <w:pStyle w:val="Paragrafoelenco"/>
        <w:numPr>
          <w:ilvl w:val="0"/>
          <w:numId w:val="2"/>
        </w:numPr>
      </w:pPr>
      <w:r>
        <w:t>Installazione automatica su Windows 11</w:t>
      </w:r>
    </w:p>
    <w:p w14:paraId="73410DCC" w14:textId="77777777" w:rsidR="00DF311C" w:rsidRDefault="000E5AC1">
      <w:pPr>
        <w:pStyle w:val="Paragrafoelenco"/>
        <w:numPr>
          <w:ilvl w:val="0"/>
          <w:numId w:val="2"/>
        </w:numPr>
        <w:spacing w:after="240"/>
      </w:pPr>
      <w:r>
        <w:t>Installazione manuale richiesta su Windows 10</w:t>
      </w:r>
    </w:p>
    <w:p w14:paraId="21BB5308" w14:textId="77777777" w:rsidR="00DF311C" w:rsidRDefault="000E5AC1">
      <w:pPr>
        <w:pStyle w:val="Titolo2"/>
      </w:pPr>
      <w:bookmarkStart w:id="62" w:name="_Toc213675411"/>
      <w:bookmarkStart w:id="63" w:name="_Toc213675457"/>
      <w:r>
        <w:t>11.3 Versioni Windows Supportate</w:t>
      </w:r>
      <w:bookmarkEnd w:id="62"/>
      <w:bookmarkEnd w:id="63"/>
    </w:p>
    <w:p w14:paraId="2A6D2091" w14:textId="77777777" w:rsidR="00DF311C" w:rsidRDefault="000E5AC1">
      <w:pPr>
        <w:pStyle w:val="Paragrafoelenco"/>
        <w:numPr>
          <w:ilvl w:val="0"/>
          <w:numId w:val="2"/>
        </w:numPr>
      </w:pPr>
      <w:r>
        <w:t>Windows 11: Completamente supportato (WebView2 preinstallato)</w:t>
      </w:r>
    </w:p>
    <w:p w14:paraId="3787192B" w14:textId="77777777" w:rsidR="00DF311C" w:rsidRDefault="000E5AC1">
      <w:pPr>
        <w:pStyle w:val="Paragrafoelenco"/>
        <w:numPr>
          <w:ilvl w:val="0"/>
          <w:numId w:val="2"/>
        </w:numPr>
      </w:pPr>
      <w:r>
        <w:t>Windows 10: Supportato con WebView2 Runtime installato</w:t>
      </w:r>
    </w:p>
    <w:p w14:paraId="54DD4CD4" w14:textId="77777777" w:rsidR="00DF311C" w:rsidRDefault="000E5AC1">
      <w:pPr>
        <w:pStyle w:val="Paragrafoelenco"/>
        <w:numPr>
          <w:ilvl w:val="0"/>
          <w:numId w:val="2"/>
        </w:numPr>
        <w:spacing w:after="360"/>
      </w:pPr>
      <w:r>
        <w:t>Windows 7/8: Non supportato (versione 10 consigliata)</w:t>
      </w:r>
    </w:p>
    <w:p w14:paraId="48D9426C" w14:textId="77777777" w:rsidR="00DF311C" w:rsidRDefault="000E5AC1">
      <w:pPr>
        <w:pStyle w:val="Titolo1"/>
      </w:pPr>
      <w:bookmarkStart w:id="64" w:name="_Toc213675412"/>
      <w:bookmarkStart w:id="65" w:name="_Toc213675458"/>
      <w:r>
        <w:t>12. Vantaggi della Migrazione</w:t>
      </w:r>
      <w:bookmarkEnd w:id="64"/>
      <w:bookmarkEnd w:id="65"/>
    </w:p>
    <w:p w14:paraId="51D6082B" w14:textId="77777777" w:rsidR="00DF311C" w:rsidRDefault="000E5AC1">
      <w:pPr>
        <w:pStyle w:val="Paragrafoelenco"/>
        <w:numPr>
          <w:ilvl w:val="0"/>
          <w:numId w:val="3"/>
        </w:numPr>
      </w:pPr>
      <w:r>
        <w:rPr>
          <w:b/>
          <w:bCs/>
        </w:rPr>
        <w:t xml:space="preserve">Compatibilità moderna: </w:t>
      </w:r>
      <w:r>
        <w:t xml:space="preserve">Utilizza il motore </w:t>
      </w:r>
      <w:proofErr w:type="spellStart"/>
      <w:r>
        <w:t>Chromium</w:t>
      </w:r>
      <w:proofErr w:type="spellEnd"/>
      <w:r>
        <w:t xml:space="preserve"> aggiornato invece di Internet Explorer deprecato</w:t>
      </w:r>
    </w:p>
    <w:p w14:paraId="1B0438C8" w14:textId="77777777" w:rsidR="00DF311C" w:rsidRDefault="000E5AC1">
      <w:pPr>
        <w:pStyle w:val="Paragrafoelenco"/>
        <w:numPr>
          <w:ilvl w:val="0"/>
          <w:numId w:val="3"/>
        </w:numPr>
      </w:pPr>
      <w:r>
        <w:rPr>
          <w:b/>
          <w:bCs/>
        </w:rPr>
        <w:t xml:space="preserve">Standard web attuali: </w:t>
      </w:r>
      <w:r>
        <w:t>Supporto completo per HTML5, CSS3, ES6+ e API moderne</w:t>
      </w:r>
    </w:p>
    <w:p w14:paraId="0C031E5C" w14:textId="77777777" w:rsidR="00DF311C" w:rsidRDefault="000E5AC1">
      <w:pPr>
        <w:pStyle w:val="Paragrafoelenco"/>
        <w:numPr>
          <w:ilvl w:val="0"/>
          <w:numId w:val="3"/>
        </w:numPr>
      </w:pPr>
      <w:r>
        <w:rPr>
          <w:b/>
          <w:bCs/>
        </w:rPr>
        <w:t xml:space="preserve">Sicurezza migliorata: </w:t>
      </w:r>
      <w:r>
        <w:t>Aggiornamenti di sicurezza automatici tramite Microsoft Edge</w:t>
      </w:r>
    </w:p>
    <w:p w14:paraId="6EB070C2" w14:textId="77777777" w:rsidR="00DF311C" w:rsidRDefault="000E5AC1">
      <w:pPr>
        <w:pStyle w:val="Paragrafoelenco"/>
        <w:numPr>
          <w:ilvl w:val="0"/>
          <w:numId w:val="3"/>
        </w:numPr>
      </w:pPr>
      <w:r>
        <w:rPr>
          <w:b/>
          <w:bCs/>
        </w:rPr>
        <w:t xml:space="preserve">Performance superiori: </w:t>
      </w:r>
      <w:r>
        <w:t>Rendering più veloce e gestione memoria ottimizzata</w:t>
      </w:r>
    </w:p>
    <w:p w14:paraId="01E2AB4E" w14:textId="77777777" w:rsidR="00DF311C" w:rsidRDefault="000E5AC1">
      <w:pPr>
        <w:pStyle w:val="Paragrafoelenco"/>
        <w:numPr>
          <w:ilvl w:val="0"/>
          <w:numId w:val="3"/>
        </w:numPr>
      </w:pPr>
      <w:r>
        <w:rPr>
          <w:b/>
          <w:bCs/>
        </w:rPr>
        <w:t xml:space="preserve">Developer tools integrati: </w:t>
      </w:r>
      <w:r>
        <w:t xml:space="preserve">Possibilità di debug con </w:t>
      </w:r>
      <w:proofErr w:type="spellStart"/>
      <w:r>
        <w:t>DevTools</w:t>
      </w:r>
      <w:proofErr w:type="spellEnd"/>
      <w:r>
        <w:t xml:space="preserve"> di Chrome/Edge</w:t>
      </w:r>
    </w:p>
    <w:p w14:paraId="6FD2874E" w14:textId="77777777" w:rsidR="00DF311C" w:rsidRDefault="000E5AC1">
      <w:pPr>
        <w:pStyle w:val="Paragrafoelenco"/>
        <w:numPr>
          <w:ilvl w:val="0"/>
          <w:numId w:val="3"/>
        </w:numPr>
        <w:spacing w:after="360"/>
      </w:pPr>
      <w:proofErr w:type="spellStart"/>
      <w:r>
        <w:rPr>
          <w:b/>
          <w:bCs/>
        </w:rPr>
        <w:t>Logging</w:t>
      </w:r>
      <w:proofErr w:type="spellEnd"/>
      <w:r>
        <w:rPr>
          <w:b/>
          <w:bCs/>
        </w:rPr>
        <w:t xml:space="preserve"> avanzato: </w:t>
      </w:r>
      <w:r>
        <w:t>Intercettazione automatica dei messaggi console JavaScript</w:t>
      </w:r>
    </w:p>
    <w:p w14:paraId="7A9DAF79" w14:textId="77777777" w:rsidR="00DF311C" w:rsidRDefault="000E5AC1">
      <w:pPr>
        <w:pStyle w:val="Titolo1"/>
      </w:pPr>
      <w:bookmarkStart w:id="66" w:name="_Toc213675413"/>
      <w:bookmarkStart w:id="67" w:name="_Toc213675459"/>
      <w:r>
        <w:t>13. Considerazioni per la Migrazione</w:t>
      </w:r>
      <w:bookmarkEnd w:id="66"/>
      <w:bookmarkEnd w:id="67"/>
    </w:p>
    <w:p w14:paraId="0E61BAB5" w14:textId="77777777" w:rsidR="00DF311C" w:rsidRDefault="000E5AC1">
      <w:pPr>
        <w:pStyle w:val="Titolo2"/>
      </w:pPr>
      <w:bookmarkStart w:id="68" w:name="_Toc213675414"/>
      <w:bookmarkStart w:id="69" w:name="_Toc213675460"/>
      <w:r>
        <w:t>13.1 Requisiti IDE</w:t>
      </w:r>
      <w:bookmarkEnd w:id="68"/>
      <w:bookmarkEnd w:id="69"/>
    </w:p>
    <w:p w14:paraId="56446E12" w14:textId="3CFCB73E" w:rsidR="00DF311C" w:rsidRDefault="000E5AC1">
      <w:pPr>
        <w:spacing w:after="120"/>
      </w:pPr>
      <w:r>
        <w:rPr>
          <w:b/>
          <w:bCs/>
          <w:color w:val="C00000"/>
        </w:rPr>
        <w:t xml:space="preserve">IMPORTANTE: </w:t>
      </w:r>
      <w:r>
        <w:t xml:space="preserve">La migrazione a </w:t>
      </w:r>
      <w:proofErr w:type="spellStart"/>
      <w:r>
        <w:t>TEdgeBrowser</w:t>
      </w:r>
      <w:proofErr w:type="spellEnd"/>
      <w:r>
        <w:t xml:space="preserve"> richiede </w:t>
      </w:r>
      <w:r>
        <w:rPr>
          <w:b/>
          <w:bCs/>
        </w:rPr>
        <w:t>Delphi 13 (</w:t>
      </w:r>
      <w:r w:rsidR="00471532">
        <w:rPr>
          <w:b/>
          <w:bCs/>
        </w:rPr>
        <w:t>Florence</w:t>
      </w:r>
      <w:r>
        <w:rPr>
          <w:b/>
          <w:bCs/>
        </w:rPr>
        <w:t>) o versioni successive</w:t>
      </w:r>
      <w:r>
        <w:t xml:space="preserve">. Il componente </w:t>
      </w:r>
      <w:proofErr w:type="spellStart"/>
      <w:r>
        <w:t>TEdgeBrowser</w:t>
      </w:r>
      <w:proofErr w:type="spellEnd"/>
      <w:r>
        <w:t xml:space="preserve"> non è disponibile nelle versioni precedenti di Delphi.</w:t>
      </w:r>
    </w:p>
    <w:p w14:paraId="1A3F8AD9" w14:textId="77777777" w:rsidR="00DF311C" w:rsidRDefault="000E5AC1">
      <w:pPr>
        <w:spacing w:after="360"/>
      </w:pPr>
      <w:r>
        <w:t xml:space="preserve">Se la tua applicazione deve supportare Delphi 12.x o precedenti, hai due opzioni: continuare a utilizzare </w:t>
      </w:r>
      <w:proofErr w:type="spellStart"/>
      <w:r>
        <w:t>TWebBrowser</w:t>
      </w:r>
      <w:proofErr w:type="spellEnd"/>
      <w:r>
        <w:t xml:space="preserve"> (versione 10) oppure integrare un componente WebView2 di terze parti compatibile con le versioni precedenti di Delphi.</w:t>
      </w:r>
    </w:p>
    <w:p w14:paraId="12BE664D" w14:textId="77777777" w:rsidR="00DF311C" w:rsidRDefault="000E5AC1">
      <w:pPr>
        <w:pStyle w:val="Titolo2"/>
      </w:pPr>
      <w:bookmarkStart w:id="70" w:name="_Toc213675415"/>
      <w:bookmarkStart w:id="71" w:name="_Toc213675461"/>
      <w:r>
        <w:t>13.2 Compatibilità con il Codice Esistente</w:t>
      </w:r>
      <w:bookmarkEnd w:id="70"/>
      <w:bookmarkEnd w:id="71"/>
    </w:p>
    <w:p w14:paraId="2D6745AE" w14:textId="77777777" w:rsidR="00DF311C" w:rsidRDefault="000E5AC1">
      <w:pPr>
        <w:spacing w:after="120"/>
      </w:pPr>
      <w:r>
        <w:t>La migrazione mantiene la compatibilità dell'interfaccia pubblica:</w:t>
      </w:r>
    </w:p>
    <w:p w14:paraId="6DE8F668" w14:textId="77777777" w:rsidR="00DF311C" w:rsidRDefault="000E5AC1">
      <w:pPr>
        <w:pStyle w:val="Paragrafoelenco"/>
        <w:numPr>
          <w:ilvl w:val="0"/>
          <w:numId w:val="2"/>
        </w:numPr>
      </w:pPr>
      <w:r>
        <w:t xml:space="preserve">Tutte le proprietà pubbliche </w:t>
      </w:r>
      <w:proofErr w:type="spellStart"/>
      <w:r>
        <w:t>dell'unit</w:t>
      </w:r>
      <w:proofErr w:type="spellEnd"/>
      <w:r>
        <w:t xml:space="preserve"> principale rimangono invariate</w:t>
      </w:r>
    </w:p>
    <w:p w14:paraId="1D41D797" w14:textId="77777777" w:rsidR="00DF311C" w:rsidRDefault="000E5AC1">
      <w:pPr>
        <w:pStyle w:val="Paragrafoelenco"/>
        <w:numPr>
          <w:ilvl w:val="0"/>
          <w:numId w:val="2"/>
        </w:numPr>
      </w:pPr>
      <w:r>
        <w:lastRenderedPageBreak/>
        <w:t xml:space="preserve">Il metodo </w:t>
      </w:r>
      <w:proofErr w:type="spellStart"/>
      <w:r>
        <w:rPr>
          <w:b/>
          <w:bCs/>
        </w:rPr>
        <w:t>ReceiveEvent</w:t>
      </w:r>
      <w:proofErr w:type="spellEnd"/>
      <w:r>
        <w:t xml:space="preserve"> continua a processare gli stessi eventi JSON</w:t>
      </w:r>
    </w:p>
    <w:p w14:paraId="01F86D3D" w14:textId="77777777" w:rsidR="00DF311C" w:rsidRDefault="000E5AC1">
      <w:pPr>
        <w:pStyle w:val="Paragrafoelenco"/>
        <w:numPr>
          <w:ilvl w:val="0"/>
          <w:numId w:val="2"/>
        </w:numPr>
        <w:spacing w:after="240"/>
      </w:pPr>
      <w:r>
        <w:t>Il flusso di lavoro dell'utente rimane identico</w:t>
      </w:r>
    </w:p>
    <w:p w14:paraId="3283652C" w14:textId="77777777" w:rsidR="00DF311C" w:rsidRDefault="000E5AC1">
      <w:pPr>
        <w:pStyle w:val="Titolo2"/>
      </w:pPr>
      <w:bookmarkStart w:id="72" w:name="_Toc213675416"/>
      <w:bookmarkStart w:id="73" w:name="_Toc213675462"/>
      <w:r>
        <w:t>13.3 Deployment</w:t>
      </w:r>
      <w:bookmarkEnd w:id="72"/>
      <w:bookmarkEnd w:id="73"/>
    </w:p>
    <w:p w14:paraId="75CD22AC" w14:textId="77777777" w:rsidR="00DF311C" w:rsidRDefault="000E5AC1">
      <w:pPr>
        <w:spacing w:after="120"/>
      </w:pPr>
      <w:r>
        <w:rPr>
          <w:b/>
          <w:bCs/>
        </w:rPr>
        <w:t>Punti di attenzione per il deployment:</w:t>
      </w:r>
    </w:p>
    <w:p w14:paraId="59B82196" w14:textId="77777777" w:rsidR="00DF311C" w:rsidRDefault="000E5AC1">
      <w:pPr>
        <w:pStyle w:val="Paragrafoelenco"/>
        <w:numPr>
          <w:ilvl w:val="0"/>
          <w:numId w:val="2"/>
        </w:numPr>
      </w:pPr>
      <w:r>
        <w:t>Verificare la presenza di WebView2 Runtime sui sistemi target</w:t>
      </w:r>
    </w:p>
    <w:p w14:paraId="07ED5023" w14:textId="77777777" w:rsidR="00DF311C" w:rsidRDefault="000E5AC1">
      <w:pPr>
        <w:pStyle w:val="Paragrafoelenco"/>
        <w:numPr>
          <w:ilvl w:val="0"/>
          <w:numId w:val="2"/>
        </w:numPr>
      </w:pPr>
      <w:r>
        <w:t>Includere il link di download nel setup o nella documentazione</w:t>
      </w:r>
    </w:p>
    <w:p w14:paraId="3627FD9F" w14:textId="77777777" w:rsidR="00DF311C" w:rsidRDefault="000E5AC1">
      <w:pPr>
        <w:pStyle w:val="Paragrafoelenco"/>
        <w:numPr>
          <w:ilvl w:val="0"/>
          <w:numId w:val="2"/>
        </w:numPr>
      </w:pPr>
      <w:r>
        <w:t>Testare su Windows 10 e Windows 11</w:t>
      </w:r>
    </w:p>
    <w:p w14:paraId="37398B5D" w14:textId="77777777" w:rsidR="00DF311C" w:rsidRDefault="000E5AC1">
      <w:pPr>
        <w:pStyle w:val="Paragrafoelenco"/>
        <w:numPr>
          <w:ilvl w:val="0"/>
          <w:numId w:val="2"/>
        </w:numPr>
      </w:pPr>
      <w:r>
        <w:t xml:space="preserve">Aggiornare il nome della DLL da </w:t>
      </w:r>
      <w:r>
        <w:rPr>
          <w:rFonts w:ascii="Courier New" w:eastAsia="Courier New" w:hAnsi="Courier New" w:cs="Courier New"/>
        </w:rPr>
        <w:t>TKTF_GLOBALBLUE_10.dll</w:t>
      </w:r>
      <w:r>
        <w:t xml:space="preserve"> a </w:t>
      </w:r>
      <w:r>
        <w:rPr>
          <w:rFonts w:ascii="Courier New" w:eastAsia="Courier New" w:hAnsi="Courier New" w:cs="Courier New"/>
        </w:rPr>
        <w:t>TKTF_GLOBALBLUE_20.dll</w:t>
      </w:r>
    </w:p>
    <w:p w14:paraId="35A43704" w14:textId="77777777" w:rsidR="00DF311C" w:rsidRDefault="000E5AC1">
      <w:pPr>
        <w:pStyle w:val="Paragrafoelenco"/>
        <w:numPr>
          <w:ilvl w:val="0"/>
          <w:numId w:val="2"/>
        </w:numPr>
        <w:spacing w:after="360"/>
      </w:pPr>
      <w:r>
        <w:t xml:space="preserve">Considerare l'installazione automatica del WebView2 </w:t>
      </w:r>
      <w:proofErr w:type="spellStart"/>
      <w:r>
        <w:t>runtime</w:t>
      </w:r>
      <w:proofErr w:type="spellEnd"/>
      <w:r>
        <w:t xml:space="preserve"> nel setup</w:t>
      </w:r>
    </w:p>
    <w:p w14:paraId="77DF722F" w14:textId="77777777" w:rsidR="00DF311C" w:rsidRDefault="000E5AC1">
      <w:pPr>
        <w:pStyle w:val="Titolo1"/>
      </w:pPr>
      <w:bookmarkStart w:id="74" w:name="_Toc213675417"/>
      <w:bookmarkStart w:id="75" w:name="_Toc213675463"/>
      <w:r>
        <w:t>14. Conclusioni</w:t>
      </w:r>
      <w:bookmarkEnd w:id="74"/>
      <w:bookmarkEnd w:id="75"/>
    </w:p>
    <w:p w14:paraId="522C7E31" w14:textId="77777777" w:rsidR="00DF311C" w:rsidRDefault="000E5AC1">
      <w:pPr>
        <w:spacing w:after="240"/>
      </w:pPr>
      <w:r>
        <w:t>La migrazione dalla versione 10 alla versione 20 rappresenta un passo necessario per mantenere l'applicazione compatibile con i moderni standard web e garantire supporto a lungo termine. Nonostante le modifiche significative nell'implementazione interna, l'interfaccia esterna e il comportamento dell'utente rimangono invariati, assicurando una transizione trasparente.</w:t>
      </w:r>
    </w:p>
    <w:p w14:paraId="0FF2073A" w14:textId="77777777" w:rsidR="00DF311C" w:rsidRDefault="000E5AC1">
      <w:pPr>
        <w:spacing w:after="120"/>
      </w:pPr>
      <w:r>
        <w:rPr>
          <w:b/>
          <w:bCs/>
        </w:rPr>
        <w:t>Punti chiave della migrazione:</w:t>
      </w:r>
    </w:p>
    <w:p w14:paraId="530C0559" w14:textId="77777777" w:rsidR="00DF311C" w:rsidRDefault="000E5AC1">
      <w:pPr>
        <w:pStyle w:val="Paragrafoelenco"/>
        <w:numPr>
          <w:ilvl w:val="0"/>
          <w:numId w:val="2"/>
        </w:numPr>
      </w:pPr>
      <w:r>
        <w:t xml:space="preserve">Sostituzione completa del componente browser da </w:t>
      </w:r>
      <w:proofErr w:type="spellStart"/>
      <w:r>
        <w:t>TWebBrowser</w:t>
      </w:r>
      <w:proofErr w:type="spellEnd"/>
      <w:r>
        <w:t xml:space="preserve"> a </w:t>
      </w:r>
      <w:proofErr w:type="spellStart"/>
      <w:r>
        <w:t>TEdgeBrowser</w:t>
      </w:r>
      <w:proofErr w:type="spellEnd"/>
    </w:p>
    <w:p w14:paraId="0F3619E7" w14:textId="77777777" w:rsidR="00DF311C" w:rsidRDefault="000E5AC1">
      <w:pPr>
        <w:pStyle w:val="Paragrafoelenco"/>
        <w:numPr>
          <w:ilvl w:val="0"/>
          <w:numId w:val="2"/>
        </w:numPr>
      </w:pPr>
      <w:r>
        <w:t xml:space="preserve">Riscrittura della comunicazione JavaScript usando l'API moderna </w:t>
      </w:r>
      <w:proofErr w:type="spellStart"/>
      <w:proofErr w:type="gramStart"/>
      <w:r>
        <w:t>window.chrome</w:t>
      </w:r>
      <w:proofErr w:type="gramEnd"/>
      <w:r>
        <w:t>.webview</w:t>
      </w:r>
      <w:proofErr w:type="spellEnd"/>
    </w:p>
    <w:p w14:paraId="298C5BFB" w14:textId="77777777" w:rsidR="00DF311C" w:rsidRDefault="000E5AC1">
      <w:pPr>
        <w:pStyle w:val="Paragrafoelenco"/>
        <w:numPr>
          <w:ilvl w:val="0"/>
          <w:numId w:val="2"/>
        </w:numPr>
      </w:pPr>
      <w:r>
        <w:t>Implementazione del POST tramite JavaScript invece di chiamate native</w:t>
      </w:r>
    </w:p>
    <w:p w14:paraId="08B17458" w14:textId="77777777" w:rsidR="00DF311C" w:rsidRDefault="000E5AC1">
      <w:pPr>
        <w:pStyle w:val="Paragrafoelenco"/>
        <w:numPr>
          <w:ilvl w:val="0"/>
          <w:numId w:val="2"/>
        </w:numPr>
      </w:pPr>
      <w:r>
        <w:t xml:space="preserve">Aggiornamento di tutte le </w:t>
      </w:r>
      <w:proofErr w:type="spellStart"/>
      <w:r>
        <w:t>unit</w:t>
      </w:r>
      <w:proofErr w:type="spellEnd"/>
      <w:r>
        <w:t xml:space="preserve"> correlate (principale, </w:t>
      </w:r>
      <w:proofErr w:type="spellStart"/>
      <w:r>
        <w:t>ExternalContainer</w:t>
      </w:r>
      <w:proofErr w:type="spellEnd"/>
      <w:r>
        <w:t xml:space="preserve">, </w:t>
      </w:r>
      <w:proofErr w:type="spellStart"/>
      <w:r>
        <w:t>GetData_TLB_Impl</w:t>
      </w:r>
      <w:proofErr w:type="spellEnd"/>
      <w:r>
        <w:t>)</w:t>
      </w:r>
    </w:p>
    <w:p w14:paraId="1AC90460" w14:textId="77777777" w:rsidR="00DF311C" w:rsidRDefault="000E5AC1">
      <w:pPr>
        <w:pStyle w:val="Paragrafoelenco"/>
        <w:numPr>
          <w:ilvl w:val="0"/>
          <w:numId w:val="2"/>
        </w:numPr>
      </w:pPr>
      <w:r>
        <w:t xml:space="preserve">Aggiunta di funzionalità di </w:t>
      </w:r>
      <w:proofErr w:type="spellStart"/>
      <w:r>
        <w:t>logging</w:t>
      </w:r>
      <w:proofErr w:type="spellEnd"/>
      <w:r>
        <w:t xml:space="preserve"> e debug avanzate</w:t>
      </w:r>
    </w:p>
    <w:p w14:paraId="2CB99764" w14:textId="77777777" w:rsidR="00DF311C" w:rsidRDefault="000E5AC1">
      <w:pPr>
        <w:pStyle w:val="Paragrafoelenco"/>
        <w:numPr>
          <w:ilvl w:val="0"/>
          <w:numId w:val="2"/>
        </w:numPr>
      </w:pPr>
      <w:r>
        <w:t>Gestione robusta degli errori con messaggi informativi per l'utente</w:t>
      </w:r>
    </w:p>
    <w:p w14:paraId="66F199DD" w14:textId="3B94127B" w:rsidR="00DF311C" w:rsidRDefault="000E5AC1">
      <w:pPr>
        <w:pStyle w:val="Paragrafoelenco"/>
        <w:numPr>
          <w:ilvl w:val="0"/>
          <w:numId w:val="2"/>
        </w:numPr>
        <w:spacing w:after="240"/>
      </w:pPr>
      <w:r>
        <w:t xml:space="preserve">Disponibilità nativa del componente </w:t>
      </w:r>
      <w:proofErr w:type="spellStart"/>
      <w:r>
        <w:t>TEdgeBrowser</w:t>
      </w:r>
      <w:proofErr w:type="spellEnd"/>
      <w:r>
        <w:t xml:space="preserve"> a partire da Delphi 13 (</w:t>
      </w:r>
      <w:r w:rsidR="00471532">
        <w:t>Florence</w:t>
      </w:r>
      <w:r>
        <w:t>)</w:t>
      </w:r>
    </w:p>
    <w:p w14:paraId="5DA89883" w14:textId="77777777" w:rsidR="00DF311C" w:rsidRDefault="000E5AC1">
      <w:pPr>
        <w:spacing w:after="120"/>
      </w:pPr>
      <w:r>
        <w:rPr>
          <w:b/>
          <w:bCs/>
          <w:color w:val="C00000"/>
        </w:rPr>
        <w:t>Requisito fondamentale:</w:t>
      </w:r>
    </w:p>
    <w:p w14:paraId="27EFC2A4" w14:textId="210D8C9A" w:rsidR="00DF311C" w:rsidRDefault="000E5AC1">
      <w:pPr>
        <w:spacing w:after="360"/>
      </w:pPr>
      <w:r>
        <w:t xml:space="preserve">La nuova implementazione richiede </w:t>
      </w:r>
      <w:r>
        <w:rPr>
          <w:b/>
          <w:bCs/>
        </w:rPr>
        <w:t>Delphi 13.x (</w:t>
      </w:r>
      <w:r w:rsidR="00471532">
        <w:rPr>
          <w:b/>
          <w:bCs/>
        </w:rPr>
        <w:t>Florence</w:t>
      </w:r>
      <w:r>
        <w:rPr>
          <w:b/>
          <w:bCs/>
        </w:rPr>
        <w:t>) o versioni successive</w:t>
      </w:r>
      <w:r>
        <w:t xml:space="preserve">, poiché il componente </w:t>
      </w:r>
      <w:proofErr w:type="spellStart"/>
      <w:r>
        <w:t>TEdgeBrowser</w:t>
      </w:r>
      <w:proofErr w:type="spellEnd"/>
      <w:r>
        <w:t xml:space="preserve"> non è disponibile nelle versioni precedenti. Progetti che devono rimanere compatibili con Delphi 12.x o precedenti dovranno continuare a utilizzare la versione 10 con </w:t>
      </w:r>
      <w:proofErr w:type="spellStart"/>
      <w:r>
        <w:t>TWebBrowser</w:t>
      </w:r>
      <w:proofErr w:type="spellEnd"/>
      <w:r>
        <w:t>.</w:t>
      </w:r>
    </w:p>
    <w:sectPr w:rsidR="00DF311C" w:rsidSect="00471532">
      <w:footerReference w:type="default" r:id="rId7"/>
      <w:pgSz w:w="11906" w:h="16838"/>
      <w:pgMar w:top="1417" w:right="1134" w:bottom="1134" w:left="1134" w:header="708" w:footer="35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40BB" w14:textId="77777777" w:rsidR="005D2CCC" w:rsidRDefault="005D2CCC">
      <w:r>
        <w:separator/>
      </w:r>
    </w:p>
  </w:endnote>
  <w:endnote w:type="continuationSeparator" w:id="0">
    <w:p w14:paraId="2643433F" w14:textId="77777777" w:rsidR="005D2CCC" w:rsidRDefault="005D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A0F2" w14:textId="376CFCD3" w:rsidR="00DF311C" w:rsidRDefault="000E5AC1">
    <w:pPr>
      <w:jc w:val="center"/>
    </w:pPr>
    <w:r>
      <w:fldChar w:fldCharType="begin"/>
    </w:r>
    <w:r>
      <w:instrText>PAGE</w:instrText>
    </w:r>
    <w:r>
      <w:fldChar w:fldCharType="separate"/>
    </w:r>
    <w:r w:rsidR="004715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86DD" w14:textId="77777777" w:rsidR="005D2CCC" w:rsidRDefault="005D2CCC">
      <w:r>
        <w:separator/>
      </w:r>
    </w:p>
  </w:footnote>
  <w:footnote w:type="continuationSeparator" w:id="0">
    <w:p w14:paraId="06B7FCF2" w14:textId="77777777" w:rsidR="005D2CCC" w:rsidRDefault="005D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D5B"/>
    <w:multiLevelType w:val="hybridMultilevel"/>
    <w:tmpl w:val="F7146544"/>
    <w:lvl w:ilvl="0" w:tplc="6FBCE0E8">
      <w:start w:val="1"/>
      <w:numFmt w:val="decimal"/>
      <w:lvlText w:val="%1."/>
      <w:lvlJc w:val="left"/>
      <w:pPr>
        <w:ind w:left="720" w:hanging="360"/>
      </w:pPr>
    </w:lvl>
    <w:lvl w:ilvl="1" w:tplc="AB74F826">
      <w:numFmt w:val="decimal"/>
      <w:lvlText w:val=""/>
      <w:lvlJc w:val="left"/>
    </w:lvl>
    <w:lvl w:ilvl="2" w:tplc="8620EB22">
      <w:numFmt w:val="decimal"/>
      <w:lvlText w:val=""/>
      <w:lvlJc w:val="left"/>
    </w:lvl>
    <w:lvl w:ilvl="3" w:tplc="FE246D84">
      <w:numFmt w:val="decimal"/>
      <w:lvlText w:val=""/>
      <w:lvlJc w:val="left"/>
    </w:lvl>
    <w:lvl w:ilvl="4" w:tplc="BD8C5BDC">
      <w:numFmt w:val="decimal"/>
      <w:lvlText w:val=""/>
      <w:lvlJc w:val="left"/>
    </w:lvl>
    <w:lvl w:ilvl="5" w:tplc="99FAB6BA">
      <w:numFmt w:val="decimal"/>
      <w:lvlText w:val=""/>
      <w:lvlJc w:val="left"/>
    </w:lvl>
    <w:lvl w:ilvl="6" w:tplc="9AB2133C">
      <w:numFmt w:val="decimal"/>
      <w:lvlText w:val=""/>
      <w:lvlJc w:val="left"/>
    </w:lvl>
    <w:lvl w:ilvl="7" w:tplc="41D262B0">
      <w:numFmt w:val="decimal"/>
      <w:lvlText w:val=""/>
      <w:lvlJc w:val="left"/>
    </w:lvl>
    <w:lvl w:ilvl="8" w:tplc="77629114">
      <w:numFmt w:val="decimal"/>
      <w:lvlText w:val=""/>
      <w:lvlJc w:val="left"/>
    </w:lvl>
  </w:abstractNum>
  <w:abstractNum w:abstractNumId="1" w15:restartNumberingAfterBreak="0">
    <w:nsid w:val="37A5678B"/>
    <w:multiLevelType w:val="hybridMultilevel"/>
    <w:tmpl w:val="25326D66"/>
    <w:lvl w:ilvl="0" w:tplc="4C944846">
      <w:start w:val="1"/>
      <w:numFmt w:val="bullet"/>
      <w:lvlText w:val="●"/>
      <w:lvlJc w:val="left"/>
      <w:pPr>
        <w:ind w:left="720" w:hanging="360"/>
      </w:pPr>
    </w:lvl>
    <w:lvl w:ilvl="1" w:tplc="F2F44548">
      <w:start w:val="1"/>
      <w:numFmt w:val="bullet"/>
      <w:lvlText w:val="○"/>
      <w:lvlJc w:val="left"/>
      <w:pPr>
        <w:ind w:left="1440" w:hanging="360"/>
      </w:pPr>
    </w:lvl>
    <w:lvl w:ilvl="2" w:tplc="702E2B06">
      <w:start w:val="1"/>
      <w:numFmt w:val="bullet"/>
      <w:lvlText w:val="■"/>
      <w:lvlJc w:val="left"/>
      <w:pPr>
        <w:ind w:left="2160" w:hanging="360"/>
      </w:pPr>
    </w:lvl>
    <w:lvl w:ilvl="3" w:tplc="E9B8E5AE">
      <w:start w:val="1"/>
      <w:numFmt w:val="bullet"/>
      <w:lvlText w:val="●"/>
      <w:lvlJc w:val="left"/>
      <w:pPr>
        <w:ind w:left="2880" w:hanging="360"/>
      </w:pPr>
    </w:lvl>
    <w:lvl w:ilvl="4" w:tplc="E21E1F6E">
      <w:start w:val="1"/>
      <w:numFmt w:val="bullet"/>
      <w:lvlText w:val="○"/>
      <w:lvlJc w:val="left"/>
      <w:pPr>
        <w:ind w:left="3600" w:hanging="360"/>
      </w:pPr>
    </w:lvl>
    <w:lvl w:ilvl="5" w:tplc="4216B64A">
      <w:start w:val="1"/>
      <w:numFmt w:val="bullet"/>
      <w:lvlText w:val="■"/>
      <w:lvlJc w:val="left"/>
      <w:pPr>
        <w:ind w:left="4320" w:hanging="360"/>
      </w:pPr>
    </w:lvl>
    <w:lvl w:ilvl="6" w:tplc="C840F7D0">
      <w:start w:val="1"/>
      <w:numFmt w:val="bullet"/>
      <w:lvlText w:val="●"/>
      <w:lvlJc w:val="left"/>
      <w:pPr>
        <w:ind w:left="5040" w:hanging="360"/>
      </w:pPr>
    </w:lvl>
    <w:lvl w:ilvl="7" w:tplc="69102A46">
      <w:start w:val="1"/>
      <w:numFmt w:val="bullet"/>
      <w:lvlText w:val="●"/>
      <w:lvlJc w:val="left"/>
      <w:pPr>
        <w:ind w:left="5760" w:hanging="360"/>
      </w:pPr>
    </w:lvl>
    <w:lvl w:ilvl="8" w:tplc="2DE658E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96A6824"/>
    <w:multiLevelType w:val="hybridMultilevel"/>
    <w:tmpl w:val="D0E47782"/>
    <w:lvl w:ilvl="0" w:tplc="29CA98DC">
      <w:start w:val="1"/>
      <w:numFmt w:val="bullet"/>
      <w:lvlText w:val="•"/>
      <w:lvlJc w:val="left"/>
      <w:pPr>
        <w:ind w:left="720" w:hanging="360"/>
      </w:pPr>
    </w:lvl>
    <w:lvl w:ilvl="1" w:tplc="B7AE23BA">
      <w:numFmt w:val="decimal"/>
      <w:lvlText w:val=""/>
      <w:lvlJc w:val="left"/>
    </w:lvl>
    <w:lvl w:ilvl="2" w:tplc="DEF4E912">
      <w:numFmt w:val="decimal"/>
      <w:lvlText w:val=""/>
      <w:lvlJc w:val="left"/>
    </w:lvl>
    <w:lvl w:ilvl="3" w:tplc="094E327A">
      <w:numFmt w:val="decimal"/>
      <w:lvlText w:val=""/>
      <w:lvlJc w:val="left"/>
    </w:lvl>
    <w:lvl w:ilvl="4" w:tplc="EF5E9D72">
      <w:numFmt w:val="decimal"/>
      <w:lvlText w:val=""/>
      <w:lvlJc w:val="left"/>
    </w:lvl>
    <w:lvl w:ilvl="5" w:tplc="BECC5226">
      <w:numFmt w:val="decimal"/>
      <w:lvlText w:val=""/>
      <w:lvlJc w:val="left"/>
    </w:lvl>
    <w:lvl w:ilvl="6" w:tplc="0E50735E">
      <w:numFmt w:val="decimal"/>
      <w:lvlText w:val=""/>
      <w:lvlJc w:val="left"/>
    </w:lvl>
    <w:lvl w:ilvl="7" w:tplc="7A1CFB44">
      <w:numFmt w:val="decimal"/>
      <w:lvlText w:val=""/>
      <w:lvlJc w:val="left"/>
    </w:lvl>
    <w:lvl w:ilvl="8" w:tplc="F196935E">
      <w:numFmt w:val="decimal"/>
      <w:lvlText w:val=""/>
      <w:lvlJc w:val="left"/>
    </w:lvl>
  </w:abstractNum>
  <w:num w:numId="1" w16cid:durableId="1507403619">
    <w:abstractNumId w:val="1"/>
    <w:lvlOverride w:ilvl="0">
      <w:startOverride w:val="1"/>
    </w:lvlOverride>
  </w:num>
  <w:num w:numId="2" w16cid:durableId="1381856595">
    <w:abstractNumId w:val="2"/>
    <w:lvlOverride w:ilvl="0">
      <w:startOverride w:val="1"/>
    </w:lvlOverride>
  </w:num>
  <w:num w:numId="3" w16cid:durableId="8277444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1C"/>
    <w:rsid w:val="000145CA"/>
    <w:rsid w:val="000B4457"/>
    <w:rsid w:val="000E5AC1"/>
    <w:rsid w:val="001617C7"/>
    <w:rsid w:val="003F348D"/>
    <w:rsid w:val="00471532"/>
    <w:rsid w:val="005D2CCC"/>
    <w:rsid w:val="00C0098C"/>
    <w:rsid w:val="00DF311C"/>
    <w:rsid w:val="00E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1BB80"/>
  <w15:docId w15:val="{B0CE7BC4-0C62-2A4F-A3D6-558E311B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480" w:after="240"/>
      <w:outlineLvl w:val="0"/>
    </w:pPr>
    <w:rPr>
      <w:b/>
      <w:bCs/>
      <w:color w:val="1F4E78"/>
      <w:sz w:val="32"/>
      <w:szCs w:val="32"/>
    </w:rPr>
  </w:style>
  <w:style w:type="paragraph" w:styleId="Titolo2">
    <w:name w:val="heading 2"/>
    <w:uiPriority w:val="9"/>
    <w:unhideWhenUsed/>
    <w:qFormat/>
    <w:pPr>
      <w:spacing w:before="360" w:after="180"/>
      <w:outlineLvl w:val="1"/>
    </w:pPr>
    <w:rPr>
      <w:b/>
      <w:bCs/>
      <w:color w:val="2E75B5"/>
      <w:sz w:val="28"/>
      <w:szCs w:val="28"/>
    </w:rPr>
  </w:style>
  <w:style w:type="paragraph" w:styleId="Titolo3">
    <w:name w:val="heading 3"/>
    <w:uiPriority w:val="9"/>
    <w:semiHidden/>
    <w:unhideWhenUsed/>
    <w:qFormat/>
    <w:pPr>
      <w:spacing w:before="240" w:after="120"/>
      <w:outlineLvl w:val="2"/>
    </w:pPr>
    <w:rPr>
      <w:b/>
      <w:bCs/>
      <w:color w:val="5B9BD5"/>
      <w:sz w:val="26"/>
      <w:szCs w:val="26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CodeStyle">
    <w:name w:val="Code Style"/>
    <w:pPr>
      <w:spacing w:before="120" w:after="120"/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471532"/>
    <w:pPr>
      <w:spacing w:before="120"/>
    </w:pPr>
    <w:rPr>
      <w:rFonts w:asciiTheme="minorHAnsi" w:hAnsiTheme="minorHAnsi"/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471532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471532"/>
    <w:pPr>
      <w:ind w:left="480"/>
    </w:pPr>
    <w:rPr>
      <w:rFonts w:asciiTheme="minorHAnsi" w:hAnsi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471532"/>
    <w:pPr>
      <w:ind w:left="72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471532"/>
    <w:pPr>
      <w:ind w:left="96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471532"/>
    <w:pPr>
      <w:ind w:left="120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471532"/>
    <w:pPr>
      <w:ind w:left="144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471532"/>
    <w:pPr>
      <w:ind w:left="168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471532"/>
    <w:pPr>
      <w:ind w:left="1920"/>
    </w:pPr>
    <w:rPr>
      <w:rFonts w:asciiTheme="minorHAnsi" w:hAnsiTheme="minorHAns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715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532"/>
  </w:style>
  <w:style w:type="paragraph" w:styleId="Pidipagina">
    <w:name w:val="footer"/>
    <w:basedOn w:val="Normale"/>
    <w:link w:val="PidipaginaCarattere"/>
    <w:uiPriority w:val="99"/>
    <w:unhideWhenUsed/>
    <w:rsid w:val="004715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Omar Bossoni</cp:lastModifiedBy>
  <cp:revision>5</cp:revision>
  <dcterms:created xsi:type="dcterms:W3CDTF">2025-11-10T12:53:00Z</dcterms:created>
  <dcterms:modified xsi:type="dcterms:W3CDTF">2025-11-13T09:20:00Z</dcterms:modified>
</cp:coreProperties>
</file>